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AL.2006.00464 vom 30. Juni 2008</w:t>
      </w:r>
    </w:p>
    <w:p>
      <w:r>
        <w:t>ZH Sozialversicherungsgericht, 2008-06-30, DE</w:t>
      </w:r>
    </w:p>
    <w:p>
      <w:r>
        <w:rPr>
          <w:b/>
        </w:rPr>
        <w:t xml:space="preserve">Quelle: </w:t>
      </w:r>
      <w:r>
        <w:t>https://mcp.opencaselaw.ch/entscheid/zh_sozialversicherungsgericht_AL.2006.00464</w:t>
      </w:r>
    </w:p>
    <w:p>
      <w:r>
        <w:t>FR: ZH_SOZIALVERSICHERUNGSGERICHT AL.2006.00464 du 30 juin 2008</w:t>
      </w:r>
    </w:p>
    <w:p>
      <w:r>
        <w:t>IT: ZH_SOZIALVERSICHERUNGSGERICHT AL.2006.00464 del 30 giugno 2008</w:t>
      </w:r>
    </w:p>
    <w:p>
      <w:pPr>
        <w:pStyle w:val="Heading2"/>
      </w:pPr>
      <w:r>
        <w:t>Erwägungen</w:t>
      </w:r>
    </w:p>
    <w:p>
      <w:r>
        <w:rPr>
          <w:b/>
        </w:rPr>
        <w:t>E. 1</w:t>
      </w:r>
    </w:p>
    <w:p>
      <w:r>
        <w:t>1.1Â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w:t>
      </w:r>
    </w:p>
    <w:p>
      <w:r>
        <w:t>1.2Â Â Â Â  Nach der hÃ¶chstrichterlichen Rechtsprechung ist bei der Ermittlung des versicherten Verdienstes der im Bemessungszeitraum (Art. 37 der Verordnung Ã¼ber die obligatorische Arbeitslosenversicherung und die InsolvenzentschÃ¤digung; AVIV) tatsÃ¤chlich bezogene Lohn massgebend; eine davon abweichende Lohnabrede zwischen Arbeitgeber und Arbeitnehmer hat grundsÃ¤tzlich unbeachtet zu bleiben. Bei Art. 23 AVIG handelt es sich im Unterschied zu Art. 13 AVIG (in Verbindung mit Art. 8 Abs. 1 lit. e AVIG) um eine Bemessungsnorm. Sie bekommt nur dann die Bedeutung einer negativen Anspruchsvoraussetzung, wenn der Mindestbetrag fÃ¼r den versicherten Verdienst von monatlich 500 Franken respektive 300 Franken bei Heimarbeitnehmern nach Art. 40 AVIV Ã¼ber den Bemessungszeitraum gemittelt nicht erreicht wird. Das Abstellen auf den tatsÃ¤chlich ausgerichteten Lohn anstatt auf den vereinbarten Lohn wirkt sich allenfalls auf die HÃ¶he des Taggeldes aus (Art. 22 Abs. 1 AVIG), berÃ¼hrt aber den Anspruch an sich nicht (BGE 131 V 450 Erw. 3.2.1 f. mit Hinweisen).</w:t>
      </w:r>
    </w:p>
    <w:p>
      <w:r>
        <w:t>Â Â Â Â Â Â Â Â  Somit bildet der versicherte Verdienst nach Art. 23 AVIG ein Korrektiv bei allfÃ¤lligen missbrÃ¤uchlichen Lohnvereinbarungen zwischen Arbeitnehmer und Arbeitgeber, indem grundsÃ¤tzlich die tatsÃ¤chlichen LohnbezÃ¼ge im Bemessungszeitraum massgebend sind (BGE 131 V 450 Erw. 3.2.3 mit Hinweis).</w:t>
      </w:r>
    </w:p>
    <w:p>
      <w:r>
        <w:t>Â Â Â Â Â Â Â Â  Von dieser Regelung im Einzelfall abzuweichen, rechtfertigt sich nur dort, wo ein Missbrauch im Sinne der Vereinbarung fiktiver LÃ¶hne, welche in Wirklichkeit nicht zur Auszahlung gelangt sind (vgl. ARV 1995 Nr. 15 S. 81 Erw. 2c), praktisch ausgeschlossen werden kann. Ob subjektiv die Absicht einer Gesetzesumgehung bestand oder zumindest eine solche in Kauf genommen wurde, ist nicht von Bedeutung. Entscheidend ist die unter objektivem Gesichtswinkel zu bejahende Missbrauchsgefahr. Eine restriktive Haltung dergestalt, dass bei der Ermittlung des versicherten Verdienstes nur in begrÃ¼ndeten AusnahmefÃ¤llen auf die Lohnabrede zwischen Arbeitgeber und Arbeitnehmer abzustellen ist, erscheint auch aus gesetzessystematischen GrÃ¼nden geboten. Eine versicherte Person, deren Arbeitgeber seinen vertraglichen Verpflichtungen nicht nachkam bzw. nicht nachkommen konnte, soll nicht noch zusÃ¤tzlich mit einer KÃ¼rzung der Leistungsanwartschaft "bestraft" werden und den bereits bei bestehendem ArbeitsverhÃ¤ltnis erlittenen Erwerbsausfall in das versicherte Risiko der Arbeitslosigkeit Ã¼bernehmen und daselbst fortzusetzen mÃ¼ssen (Urteil des EidgenÃ¶ssischen Versicherungsgerichtes in Sachen P. vom 29. Juli 2005, C 161/04, Erw. 3.1.1 und 3.1.2 mit Hinweisen).</w:t>
      </w:r>
    </w:p>
    <w:p>
      <w:r>
        <w:rPr>
          <w:b/>
        </w:rPr>
        <w:t>E. 2</w:t>
      </w:r>
    </w:p>
    <w:p>
      <w:r>
        <w:t>2.1Â Â Â Â  Die Beschwerdegegnerin begrÃ¼ndete den angefochtenen Einspracheentscheid im Wesentlichen damit, dass der BeschwerdefÃ¼hrer nicht nachweisen kÃ¶nne, fÃ¼r seine TÃ¤tigkeit bei der Y.___ AG einen Lohn bezogen zu haben, so dass der versicherte Verdienst mit Fr. 0.-- zu beziffern sei (Urk. 2 S. 3).</w:t>
      </w:r>
    </w:p>
    <w:p>
      <w:r>
        <w:t>2.2Â Â Â Â Â Â Â Â  DemgegenÃ¼ber machte der Vertreter des BeschwerdefÃ¼hrers geltend, dass der versicherte Verdienst des BeschwerdefÃ¼hrers schon allein aufgrund des WiedererwÃ¤gungsentscheides vom 27. Januar 2006 und der gestÃ¼tzt darauf erfolgten Abschreibung des Verfahrens durch das hiesige Gericht auf Fr. 102'000.-- festzusetzen sei. Angesichts der materiellen Wirkungen dieses rechtskrÃ¤ftigen Gerichtsentscheides bleibe kein Raum fÃ¼r einen anderen Entscheid. Zudem sei ungeachtet dieser Rechtslage aufgrund der arbeitsvertraglichen Vereinbarung von einem versicherten Verdienst in der genannten HÃ¶he auszugehen (Urk. 1).</w:t>
      </w:r>
    </w:p>
    <w:p>
      <w:r>
        <w:rPr>
          <w:b/>
        </w:rPr>
        <w:t>E. 2.3</w:t>
      </w:r>
    </w:p>
    <w:p>
      <w:r>
        <w:t>2.3.1Â Â  In ihrem WiedererwÃ¤gungsentscheid vom 27. Januar 2006 hielt die Beschwerdegegnerin fest, dass der BeschwerdefÃ¼hrer die Mindestbeitragszeit in der fÃ¼r die Beitragszeit massgebenden Rahmenfrist erfÃ¼llt habe, da unbestritten sei, dass er fÃ¼r die Firma Y.___ AG eine beitragspflichtige BeschÃ¤ftigung ausgeÃ¼bt habe. Ãber die HÃ¶he des versicherten Verdienstes sei in der Folge anhand sÃ¤mtlicher geeigneter Beweismittel frei zu entscheiden (Urk. 6/5).</w:t>
      </w:r>
    </w:p>
    <w:p>
      <w:r>
        <w:t>Â Â Â Â Â Â Â Â  Die Formulierung zeigt klar, dass Ã¼ber die HÃ¶he des versicherten Verdienstes als Bemessungselement noch nicht befunden, sondern allein der Anspruch auf ArbeitslosenentschÃ¤digung im Grundsatz bejaht worden ist. Vor diesem Hintergrund kann gestÃ¼tzt auf die Abschreibung des Verfahrens durch das hiesige Gerichte (VerfÃ¼gung vom 21. Februar 2006, Urk. 6/1) nicht geschlossen werden, dass auch hinsichtlich der HÃ¶he des versicherten Verdienstes bereits ein Entscheid gefallen ist.</w:t>
      </w:r>
    </w:p>
    <w:p>
      <w:r>
        <w:t>2.3.2Â Â Â Â Â Â Â Â  Unbestritten ist im vorliegenden Fall, dass der BeschwerdefÃ¼hrer fÃ¼r seine TÃ¤tigkeit bei der Y.___ AG Ã¼berhaupt keinen Lohn erhalten hat. Dies ist auch aufgrund der ergÃ¤nzenden Vereinbarung zum Arbeitsvertrag vom 28. Februar 2004 ohne weiteres nachvollziehbar, da darin festgehalten ist, dass der BeschwerdefÃ¼hrer die ersten zwÃ¶lf MonatslÃ¶hne im Sinne einer einmaligen LiquiditÃ¤tshilfe gegenÃ¼ber der Firma vortragen lasse (Urk. 6/35). Der BeschwerdefÃ¼hrer hat somit wÃ¤hrend der gesamten Arbeitsdauer vom 1. MÃ¤rz 2004 bis zum 28. Februar 2005 keinen Lohn erhalten und bewusst auf dessen Auszahlung bis zu diesem Zeitpunkt verzichtet. Unmittelbar danach war er arbeitslos und begann die Rahmenfrist fÃ¼r den Leistungsbezug (Urk. 6/43). Da aber entsprechend der hÃ¶chstrichterlichen Rechtsprechung allein der tatsÃ¤chliche Lohnfluss zur Ermittlung des versicherten Verdienstes dienen kann und kein Ausnahmetatbestand vorliegt (ErwÃ¤gung 1.2 oben) - wusste doch der Versicherte um die Besonderheit des von ihm eingegangenen Vertrages und kannte er die Gefahr, auf die er sich einliess -, ist das Vorgehen der Beschwerdegegnerin nicht zu beanstanden.</w:t>
      </w:r>
    </w:p>
    <w:p>
      <w:r>
        <w:t>Â Â Â Â Â Â Â Â  Dieses Ergebnis Ã¼berzeugt auch in Anbetracht des der zitierten Rechtsprechung zugrunde liegenden Gedankens der MissbrauchverhÃ¼tung. Andernfalls kÃ¶nnten die finanziellen Risiken bei der UnternehmensgrÃ¼ndung teilweise auf die Arbeitslosenkasse abgewÃ¤lzt werden, indem die Arbeitnehmer auch ohne Auszahlung eines Lohnes im Konkursfall bei der Arbeitslosenkasse einen versicherten Verdienst nachweisen kÃ¶nnten. Augenscheinlich war die gemÃ¤ss der Rechtsprechung "unter objektivem Gesichtswinkel zu bejahende Missbrauchsgefahr" gegeben. Zudem ist anzumerken, dass die getroffene Lohnvereinbarung in arbeitsvertraglicher Hinsicht nichtig ist (vgl. Art. 323b Abs. 3 des Schweizerischen Obligationenrechts, OR; BGE 131 V 453). Der BeschwerdefÃ¼hrer hÃ¤tte somit ungeachtet der Abrede auf die monatliche Auszahlung des Lohnes bestehen kÃ¶nnen, was ihm in einem spÃ¤teren Zeitpunkt den Nachweis des Lohnflusses ermÃ¶glicht hÃ¤tte.</w:t>
      </w:r>
    </w:p>
    <w:p>
      <w:r>
        <w:t>3.Â Â Â Â Â Â Â Â  Zusammenfassend fÃ¼hrt dies zur BestÃ¤tigung des angefochtenen Einspracheentscheids sowie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Urs BÃ¼rgin</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