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AL.2006.00330 vom 30. März 2008</w:t>
      </w:r>
    </w:p>
    <w:p>
      <w:r>
        <w:t>ZH Sozialversicherungsgericht, 2008-03-30, DE</w:t>
      </w:r>
    </w:p>
    <w:p>
      <w:r>
        <w:rPr>
          <w:b/>
        </w:rPr>
        <w:t xml:space="preserve">Quelle: </w:t>
      </w:r>
      <w:r>
        <w:t>https://mcp.opencaselaw.ch/entscheid/zh_sozialversicherungsgericht_AL.2006.00330</w:t>
      </w:r>
    </w:p>
    <w:p>
      <w:r>
        <w:t>FR: ZH_SOZIALVERSICHERUNGSGERICHT AL.2006.00330 du 30 mars 2008</w:t>
      </w:r>
    </w:p>
    <w:p>
      <w:r>
        <w:t>IT: ZH_SOZIALVERSICHERUNGSGERICHT AL.2006.00330 del 30 marzo 2008</w:t>
      </w:r>
    </w:p>
    <w:p>
      <w:pPr>
        <w:pStyle w:val="Heading2"/>
      </w:pPr>
      <w:r>
        <w:t>Erwägungen</w:t>
      </w:r>
    </w:p>
    <w:p>
      <w:r>
        <w:rPr>
          <w:b/>
        </w:rPr>
        <w:t>E. 2</w:t>
      </w:r>
    </w:p>
    <w:p>
      <w:r>
        <w:t>2.1Â Â Â Â  Die Arbeitslosenkasse hat dem BeschwerdefÃ¼hrer gestÃ¼tzt auf Art. 24 Abs. 3 AVIG und der hierzu ergangenen Rechtsprechung zur Ermittlung eines allfÃ¤lligen Differenzausgleichs einen berufs- und ortsÃ¼blichen Lohn angerechnet. Bei der Berechnung stÃ¼tzte sie sich auf die AuskÃ¼nfte der beiden Arbeitgeber. GemÃ¤ss den Angaben der C.___ AG vom 20. Februar 2006 betrÃ¤gt der durchschnittliche Lohn eines vollzeitlich beschÃ¤ftigen Mitarbeiters Fr. 4'429.-- im Monat (Urk. 3/3). Die E.___ AG bezifferte das Einkommen ihrer Mitarbeiter bei normalem Einsatz mit Fr. 5'000.-- bis Fr. 9'000.-- (Schreiben vom 9. Juni 2006; Urk. 3/4). In der Folge ging die Beschwerdegegnerin von den Angaben der C.___ AG aus, legte den Zwischenverdienst vom 1. Januar bis 31. MÃ¤rz 2006 auf Fr. 4'429.-- und fÃ¼r die Zeit vom 1. April bis 26. Mai 2006 gestÃ¼tzt auf die Angaben der E.___ AG auf Fr. 7'000.-- fest (Urk. 2 in Verbindung mit Urk. 8/12), ohne dass sie dem Versicherten eine EinfÃ¼hrungszeit in den ausgeÃ¼bten TÃ¤tigkeiten zugestanden hÃ¤tte (Urk. 7 S. 2).</w:t>
      </w:r>
    </w:p>
    <w:p>
      <w:r>
        <w:t>2.2Â Â Â Â  Der BeschwerdefÃ¼hrer lÃ¤sst zur Hauptsache einwenden (Urk. 1 S. 4 ff., 8/11 und 12), er habe bei der C.___ AG im Januar 2006 Fr. 535.05, im Februar 2006 Fr. 1'097.80 und im MÃ¤rz 2006 Fr. 295.20 verdient. Es habe sich bei der TÃ¤tigkeit nicht um ein Vollzeitpensum gehandelt, sondern im Durchschnitt verteilt auf die drei Monate lediglich um eine Anstellung im Ausmass von 19,86 %. Es werde bestritten, dass ein Angestellter auf Provisionsbasis in den ersten Monaten beziehungsweise im ersten Jahr der Anstellung bereits einen monatlichen Verdienst von Fr. 4'429.-- erzielen kÃ¶nne. Indem ihm ein unerreichbarer Durchschnittslohn angerechnet werde, werde er schlechter gestellt, als wenn er diese Stelle gar nicht angenommen hÃ¤tte. Er hÃ¤tte die Stelle in der Probezeit auch sofort aufgeben kÃ¶nnen. Das RAV hÃ¤tte ihn auf jeden Fall schriftlich auf die Praxis der Zwischenverdienstberechnung aufmerksam machen mÃ¼ssen. Da ein solcher Hinweis unterblieben sei, liege ein Verstoss gegen Art. 27 Abs. 1 ATSG vor. Gleiches mÃ¼sse mit Bezug auf Stelle bei der E.___ AG gelten. Bei diesem ArbeitsverhÃ¤ltnis habe er Fr. 3'500.-- im April 2006 und Fr. 3'060.-- bis zur KÃ¼ndigung per 25. Mai 2006 verdient (Urk. 1 S. 6). Nicht nur sei auf die tatsÃ¤chlich erzielten Verdienste abzustellen, sondern die Beschwerdegegnerin habe auch Arbeitslosentaggelder fÃ¼r die Zeit vom 11. bis zum 31. MÃ¤rz 2006 auszubezahlen, zumal der letzte Arbeitseinsatz bei der C.___ AG am 10. MÃ¤rz 2006 stattgefunden habe.</w:t>
      </w:r>
    </w:p>
    <w:p>
      <w:r>
        <w:rPr>
          <w:b/>
        </w:rPr>
        <w:t>E. 3</w:t>
      </w:r>
    </w:p>
    <w:p>
      <w:r>
        <w:t>3.1Â Â Â Â  Im verwaltungsgerichtlichen Beschwerdeverfahren sind grundsÃ¤tzlich nur RechtsverhÃ¤ltnisse zu Ã¼berprÃ¼fen beziehungsweise zu beurteilen, zu denen die zustÃ¤ndige VerwaltungsbehÃ¶rde vorgÃ¤ngig verbindlich - in Form einer VerfÃ¼gung bzw. eines Einspracheentscheids - Stellung genommen hat. Insoweit bestimmt die VerfÃ¼gung beziehungsweise der Einspracheentscheid den beschwerdeweise weiterziehbaren Anfechtungsgegenstand. Umgekehrt fehlt es an einem Anfechtungsgegenstand und somit an einer Sachurteilsvoraussetzung, wenn und insoweit keine VerfÃ¼gung beziehungsweise kein Einspracheentscheid ergangen ist (BGE 131 V 164 E. 2.1; 125 V 413 E. 1a S. 414).</w:t>
      </w:r>
    </w:p>
    <w:p>
      <w:r>
        <w:t>Â Â Â Â Â Â Â Â  Bei der VerfÃ¼gung vom 19. Juli 2006 (Urk. 8/12) beziehungsweise beim Einspracheentscheid vom 21. August 2006 (Urk. 2) handelt es sich nach dem Wortlaut um einen unzulÃ¤ssigen Feststellungsentscheid. Nach dem tatsÃ¤chlichen rechtlichen Gehalt, auf den es vorliegend ankommt (Urteil des EVG in Sachen R. vom 19. April 2001, C 166/00, Erw. 1), wurde damit jedoch der Anspruch auf ArbeitslosenentschÃ¤digung fÃ¼r die Kontrollperioden Januar bis Mai 2006 zufolge der von der Beschwerdegegnerin als berufs- und ortsÃ¼blich erachteten Zwischenverdienste verneint. Es geht demnach auch um die Leistungen fÃ¼r die streitige Periode, fÃ¼r welche der BeschwerdefÃ¼hrer ausdrÃ¼cklich Anspruch auf ArbeitslosenentschÃ¤digung erhebt (Urk. 1 S. 2 [AntrÃ¤ge 2-4]).</w:t>
      </w:r>
    </w:p>
    <w:p>
      <w:r>
        <w:t>3.2Â Â Â Â  Streitig und zu prÃ¼fen ist vorab die HÃ¶he des anrechenbaren Zwischenverdienstes. Der BeschwerdefÃ¼hrer war in der relevanten Zeitspanne zwischen dem 1. Januar und dem 26. Mai 2006 nacheinander fÃ¼r zwei verschiedene Arbeitgeber tÃ¤tig. Beiden AnstellungsverhÃ¤ltnissen lagen EntlÃ¶hnungen mit Provisionsanteilen zugrunde, welche AHV-beitragsrechtlich als unselbstÃ¤ndige ErwerbstÃ¤tigkeiten abgerechnet wurden (Urk. 8/26 sowie 8/21/1+2).</w:t>
      </w:r>
    </w:p>
    <w:p>
      <w:r>
        <w:t>Â Â Â Â Â Â Â Â  Die Firma C.___ AG, mit der der Versicherte am 4. Oktober 2005 einen Agenturvertrag abgeschlossen hatte (Urk. 8/26b), fÃ¼hrte in ihrem Schreiben vom 20. Februar 2006 (Urk. 3/3) an die Beschwerdegegnerin aus, gestÃ¼tzt auf die im Jahr 2005 abgerechnete Lohnsumme fÃ¼r die sechs Vollzeitagenten ergebe sich ein monatlicher Durchschnittslohn von brutto Fr. 4'429.--. Die C.___ AG wies weiter darauf hin, dass die ersten Monate zu Beginn der AgententÃ¤tigkeit oft recht schwierig seien, weshalb die ersten Provisionszahlungen im Durchschnitt erst nach ungefÃ¤hr drei bis vier Monaten erfolgen wÃ¼rden. FÃ¼r den geleisteten Aufwand werde der Agent jedoch auch entschÃ¤digt. An Zeitaufwand wÃ¼rden ihm pro VorfÃ¼hrung zwei bis drei Stunden Zeitaufwand gutgeschrieben und mit Fr. 18.45 pro Stunde zuzÃ¼glich 8,33 % Feriengeld abgegolten, wobei dieses halbjÃ¤hrlich ausbezahlt werde.</w:t>
      </w:r>
    </w:p>
    <w:p>
      <w:r>
        <w:t>Â Â Â Â Â Â Â Â  Die EntlÃ¶hnung bei der C.___ AG basierte damit einerseits auf Provisionsbasis, andererseits entschÃ¤digte die Arbeitgeberin auch den Zeitaufwand fÃ¼r die VorfÃ¼hrungen. GemÃ¤ss der Bescheinigung Ã¼ber Zwischenverdienst hat der BeschwerdefÃ¼hrer im Januar 2006 insgesamt 29 Stunden verteilt auf neun Arbeitstage gearbeitet (Urk. 3/7 = Urk. 8/24). Im Februar 2006 waren es 59,5 Stunden ebenfalls verteilt auf neun Arbeitstage (Urk. 3/7a = Urk. 8/25), und im MÃ¤rz 2006 waren es 16 Stunden an zwei Arbeitstagen (Urk. 3/7b = Urk. 8/26). Aktenkundig ist sodann, dass die Arbeitgeberin zwar die Normalarbeitszeit im Betrieb mit 40 Wochenstunden angegeben hat (Urk. 8/24-26), die Arbeitnehmer indes gemÃ¤ss Agenturvertrag in der Einteilung der Arbeitszeit frei sind. Die bezeichnete Normalarbeitszeit entspricht einem monatlichen durchschnittlichen Stundensoll von 173,6 Stunden (40 Stunden/Woche : 5 x 21,7 Arbeitstage im Monat). Bei der C.___ AG hat der BeschwerdefÃ¼hrer insgesamt 104,5 Stunden (nÃ¤mlich 29 im Januar, 59,5 im Februar und 16 im MÃ¤rz) gearbeitet, was im Durchschnitt 34,83 Stunden im Monat entspricht. Bei der im Betrieb Ã¼blichen Arbeitszeit resultierte demnach ein durchschnittliches Pensum von 20,06 % (100 : 173,6 x 34,83). Damit steht zweifelsfrei fest, dass die TÃ¤tigkeit bei der C.___ AG lediglich einem Teilzeitpensum entsprochen hat.</w:t>
      </w:r>
    </w:p>
    <w:p>
      <w:r>
        <w:t>Â Â Â Â Â Â Â Â  Obwohl die Arbeitgeberin die betriebsÃ¼bliche Arbeitszeit mit 40 Wochenstunden bezeichnet hat (Urk. 8/26 Ziff. 4), ergeben sich aus den Akten keine Anhaltspunkte, wonach der BeschwerdefÃ¼hrer tatsÃ¤chlich mehr als die in den Zwischenverdienstbescheinigungen aufgefÃ¼hrten und von der C.___ AG effektiv vergÃ¼teten Stunden tÃ¤tig gewesen wÃ¤re (Urk. 8/24-26). Im Agenturvertrag ist denn auch keine Abmachung hinsichtlich der vom BeschwerdefÃ¼hrer zu leistenden Arbeitszeit enthalten (Urk. 8/26b). Entgegen den Abmachungen im schriftlichen Agenturvertrag setzte sich die EntlÃ¶hnung des Versicherten demnach aus der Abgeltung der tatsÃ¤chlich aufgewendeten Stunden sowie Provisionen zusammen, wobei es in Ermangelung eines Vertragsabschlusses nicht zur Auszahlung einer Provision kam. In Anbetracht des Umstandes, dass der BeschwerdefÃ¼hrer somit sein zeitliches Engagement fÃ¼r die VerkaufsprÃ¤sentationen des Reinigungssystems frei bestimmen konnte (vgl. Urteil des EVG in Sachen C. vom 31. Januar 1996, C 150/95), und der ihm vergÃ¼tete Zeitaufwand mit Fr. 18.45 pro Stunde zuzÃ¼glich 8,33 % FerienentschÃ¤digung (Urk. 3/3 und 8/24-26) nur knapp unter dem von der Rechtsprechung mit Fr. 20.-- als berufs- oder branchenÃ¼blich bezeichneten Stundenlohn bei einer AussendiensttÃ¤tigkeit lag, ist vom tatsÃ¤chlich vergÃ¼teten Ansatz auszugehen. Denn es ist dabei zu berÃ¼cksichtigen, dass die Rechtsprechung den hÃ¶heren Stundenansatz von Fr. 20.-- fÃ¼r TÃ¤tigkeiten im Finanzbereich, einer notorischerweise finanzkrÃ¤ftigeren Branche, als angemessen erachtet hat, mit welchen TÃ¤tigkeiten jedoch die dem BeschwerdefÃ¼hrer obliegenden VerkaufsprÃ¤sentationen nicht zu vergleichen sind. Zur Bemessung des Zwischenverdienstes bei der C.___ AG ist somit vom tatsÃ¤chlich geleisteten Arbeitseinsatz und dem hierfÃ¼r vergÃ¼teten Stundenansatz - ohne Aufrechnung - auszugehen. Im Differenzbetrag zum versicherten Verdienst hat der BeschwerdefÃ¼hrer Anspruch auf Kompensationszahlungen.</w:t>
      </w:r>
    </w:p>
    <w:p>
      <w:r>
        <w:t>3.3Â Â Â Â  GemÃ¤ss Arbeitsvertrag vom 10. April 2006 (Urk. 8/21/6 und 8/21/7) wurde der BeschwerdefÃ¼hrer ab dem 4. April 2006 als Verkaufsberater bei der E.___ AG beschÃ¤ftigt und es wurde hierfÃ¼r ein Vertrag als Handelsreisender ohne Abschlussvollmacht abgeschlossen. Die EntlÃ¶hnung basierte dabei auf einem Fixum von monatlich Fr. 3'500.-- sowie einem umsatzbezogenen Provisionsanspruch (Urk. 8/21/7 S. 4). Ausserdem hatte der BeschwerdefÃ¼hrer Anspruch auf SpesenvergÃ¼tung (Urk. 8/21/7 S. 6 f.). Das ArbeitsverhÃ¤ltnis wurde noch in der Probezeit wieder aufgelÃ¶st (Urk. 8/21/3), wobei hinsichtlich des Datums der Beendigung in den Akten unterschiedliche Angaben vorhanden sind. In der Arbeitgeberbescheinigung ist die Dauer des ArbeitsverhÃ¤ltnisses korrigiert und bis zum 26. Mai 2006 eingetragen (Urk. 8/21 Ziff. 2). GemÃ¤ss der Bescheinigung wurde das ArbeitsverhÃ¤ltnis auf den 25. Mai 2006 gekÃ¼ndigt (Urk. 8/21 Ziff. 10), wÃ¤hrenddem die KÃ¼ndigung per 26. Mai 2006 ausgesprochen worden ist (Urk. 8/21/3). Nach der Aktenlage ist, zumal der 25. Mai 2006 auf Auffahrt und damit einen Feiertag fiel, von der AuflÃ¶sung des Arbeitsvertrags auf den 26. Mai 2006 und damit auf das Ende der Arbeitswoche auszugehen, was auch mit dem Text der KÃ¼ndigung Ã¼bereinstimmt (Urk. 8/21/3). Ãber das Ausmass der tatsÃ¤chlich fÃ¼r die E.___ AG gearbeiteten Stunden finden sich in den Akten keine Angaben, weshalb nicht bekannt ist, ob der BeschwerdefÃ¼hrer, Ã¤hnlich wie bei der C.___ AG, nur stundenmÃ¤ssig im Einsatz war. Dies Ã¤ndert jedoch nichts am Umstand, dass der ausbezahlte Grundlohn auch bei voller Arbeitsleistung von 40 Wochenstunden gemÃ¤ss Arbeitsvertrag (Urk. 8/21/6 S. 4) branchenÃ¼blich ist, wie nachfolgend aufzuzeigen ist.</w:t>
      </w:r>
    </w:p>
    <w:p>
      <w:r>
        <w:t>Â Â Â Â Â Â Â Â  Im April 2006 hat der BeschwerdefÃ¼hrer gemÃ¤ss Lohnabrechnung das vereinbarte Fixum von brutto Fr. 3'500.-- zuzÃ¼glich Fr. 1'160.-- pauschal fÃ¼r Spesen bezogen (Urk. 8/21/2); der Nettolohn belief sich auf Fr. 4'131.70. Im Mai verdiente er bis zur KÃ¼ndigung per 25. Mai 2006 brutto Fr. 2'880.-- zuzÃ¼glich Provisionen von Fr. 180.-- und erhielt pauschal fÃ¼r Spesen Fr. 457.15 (Urk. 8/21/1). Insgesamt betrug die Auszahlung netto Fr. 3'030.10. Der vereinbarte Grundlohn von Fr. 3'500.-- entspricht einem Tagesverdienst von Fr. 161.30 (Fr. 3'500.-- : 21,7) und bei einer im Betrieb Ã¼blichen Arbeitszeit von 40 Stunden in der Woche (Urk. 8/21/6 S. 4) einem Stundenlohn von Fr. 20.15 (Fr. 161.30 : 8). Damit lag bereits dem vereinbarten Grundlohn der nach der Rechtsprechung als berufs- und ortsÃ¼blich bezeichnete Stundenansatz zugrunde, weshalb bei der E.___ AG ebenfalls vom tatsÃ¤chlich erzielten Zwischen-verdienst auszugehen ist. Die Beschwerdegegnerin hat ohne weitere Aufrechnung des Verdienstes nurmehr zu prÃ¼fen, ob gemÃ¤ss Art. 24 in Verbindung mit Art. 22 AVIG Anspruch auf Kompensationszahlungen besteht.</w:t>
      </w:r>
    </w:p>
    <w:p>
      <w:r>
        <w:t>Â Â Â Â Â Â Â Â  Der VollstÃ¤ndigkeit halber bleibt festzuhalten, dass das ArbeitsverhÃ¤ltnis - wie erwÃ¤hnt - auf den 26. Mai 2006 aufgelÃ¶st worden ist, weshalb der BeschwerdefÃ¼hrer fÃ¼r die Zeit ab dem nÃ¤chsten Werktag (29. Mai 2006) wieder Anspruch auf ArbeitslosenentschÃ¤digung hat, sofern alle Voraussetzungen erfÃ¼llt sind.</w:t>
      </w:r>
    </w:p>
    <w:p>
      <w:r>
        <w:t>3.4Â Â Â Â Â Â Â Â  Zusammenfassend ergibt sich nach dem Gesagten, dass der BeschwerdefÃ¼hrer fÃ¼r die Monate Januar, Februar und MÃ¤rz 2006 sowie fÃ¼r die Zeit vom 1. April bis zum 26. Mai 2006 Anspruch auf Differenzzahlungen auf der Basis des jeweils tatsÃ¤chlich erhaltenen Zwischenverdienstes hat.</w:t>
      </w:r>
    </w:p>
    <w:p>
      <w:r>
        <w:t>Â Â Â Â Â Â Â Â  Die Beschwerde ist daher unter Aufhebung des Einspracheentscheides vom 21. August 2006 in dem Sinne teilweise gutzuheissen, dass die Sache an die Beschwerdegegnerin zurÃ¼ckzuweisen ist, damit sie die Kompensationszahlungen fÃ¼r die Zeit vom 1. Januar bis zum 26. Mai 2006 berechne und darÃ¼ber entscheide.</w:t>
      </w:r>
    </w:p>
    <w:p>
      <w:r>
        <w:t>4.Â Â Â Â Â Â  Der mehrheitlich obsiegende BeschwerdefÃ¼hrer hat gestÃ¼tzt auf Â§ 34 Abs. 1 des Gesetzes Ã¼ber das Sozialversicherungsgericht (GSVGer) in Verbindung mit Art. 61 lit. g ATSG Anspruch auf Ersatz der Parteikosten. Diese sind ohne RÃ¼cksicht auf den Streitwert nach der Schwierigkeit des Prozesses zu bemessen und nach richterlichem Ermessen auf Fr. 1'200.-- (einschliesslich Barauslagen und Mehrwertsteuer) zu Lasten der Beschwerdegegnerin festzusetzen.</w:t>
      </w:r>
    </w:p>
    <w:p>
      <w:r>
        <w:t>Das Gericht erkennt:</w:t>
      </w:r>
    </w:p>
    <w:p>
      <w:r>
        <w:t>1.Â Â Â Â Â Â Â Â  Die Beschwerde wird in dem Sinne teilweise gutgeheissen, dass der angefochtene Einspracheentscheid vom 21. August 2006 aufgehoben und die Sache an die Arbeitslosenkasse IAW zurÃ¼ckgewiesen wird, damit sie die im Sinne der ErwÃ¤gungen zustehenden Kompensationszahlungen der Monate Januar bis Mai 2006 neu berechne und auszahle. Im Ãbrigen wird die Beschwerde abgewiesen.</w:t>
      </w:r>
    </w:p>
    <w:p>
      <w:r>
        <w:t>2.Â Â Â Â Â Â Â Â  Das Verfahren ist kostenlos.</w:t>
      </w:r>
    </w:p>
    <w:p>
      <w:r>
        <w:t>3.Â Â Â Â Â Â Â Â  Die Beschwerdegegnerin wird verpflichtet, dem BeschwerdefÃ¼hrer eine ProzessentschÃ¤digung von Fr. 1'200.-- (inkl. Barauslagen und MWSt) zu bezahlen.</w:t>
      </w:r>
    </w:p>
    <w:p>
      <w:r>
        <w:t>4.Â Â Â Â Â Â Â Â Â Â  Zustellung gegen Empfangsschein an:</w:t>
      </w:r>
    </w:p>
    <w:p>
      <w:r>
        <w:t>- Arbeitslosenkasse IAW</w:t>
      </w:r>
    </w:p>
    <w:p>
      <w:r>
        <w:t>- Rechtsanwalt Dr. Christian Sager</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