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AL.2006.00189 vom 19. Dezember 2007</w:t>
      </w:r>
    </w:p>
    <w:p>
      <w:r>
        <w:t>ZH Sozialversicherungsgericht, 2007-12-19, DE</w:t>
      </w:r>
    </w:p>
    <w:p>
      <w:r>
        <w:rPr>
          <w:b/>
        </w:rPr>
        <w:t xml:space="preserve">Quelle: </w:t>
      </w:r>
      <w:r>
        <w:t>https://mcp.opencaselaw.ch/entscheid/zh_sozialversicherungsgericht_AL.2006.00189</w:t>
      </w:r>
    </w:p>
    <w:p>
      <w:r>
        <w:t>FR: ZH_SOZIALVERSICHERUNGSGERICHT AL.2006.00189 du 19 décembre 2007</w:t>
      </w:r>
    </w:p>
    <w:p>
      <w:r>
        <w:t>IT: ZH_SOZIALVERSICHERUNGSGERICHT AL.2006.00189 del 19 dicembre 2007</w:t>
      </w:r>
    </w:p>
    <w:p>
      <w:pPr>
        <w:pStyle w:val="Heading2"/>
      </w:pPr>
      <w:r>
        <w:t>Erwägungen</w:t>
      </w:r>
    </w:p>
    <w:p>
      <w:r>
        <w:rPr>
          <w:b/>
        </w:rPr>
        <w:t>E. 3</w:t>
      </w:r>
    </w:p>
    <w:p>
      <w:r>
        <w:t>3.1Â Â Â Â  Aus dem Handelsregisterauszug der A.___ (heute: in Liquidation) geht hervor, dass der BeschwerdefÃ¼hrer am 18. Juli 2002 als GeschÃ¤ftsfÃ¼hrer mit Einzelunterschrift eingetragen wurde, ein Eintrag, der am 10. Oktober 2003 wie folgt mutiert wurde: Der BeschwerdefÃ¼hrer war alsdann GeschÃ¤ftsfÃ¼hrer mit Kollektivunterschrift zu zweien (vgl. HReg-Auszug, Urk. 17). Mit Arbeitsvertrag vom 17. Oktober 2003 wurde der BeschwerdefÃ¼hrer von der A.___ ab dem 1. Oktober 2003 als stellvertretender GeschÃ¤ftsfÃ¼hrer eingestellt. Seine Aufgaben umfassten primÃ¤r den Verkauf Export, die Mitgestaltung des Verkaufsprogramms, die Finanzen und die Stellvertretung des GeschÃ¤ftsfÃ¼hrers. Das Gehalt wurde auf Fr. 104'000.--, zahlbar in 13 Raten, zuzÃ¼glich einer Provision von Fr. 36'000.-- (bei Erreichung der Unternehmensziele) zuzÃ¼glich eines Bonus festgesetzt (Urk. 6/22). Eine weitere Ãnderung im Handelsregister in Bezug auf den BeschwerdefÃ¼hrer erfolgte am 14. November 2003. Dabei wurde ihm die GeschÃ¤ftsfÃ¼hrertÃ¤tigkeit entzogen und in eine Kollektivprokura zu zweien umgewandelt. Am 26. April 2005 wurde der BeschwerdefÃ¼hrer wiederum als GeschÃ¤ftsfÃ¼hrer mit Kollektivunterschrift zu zweien eingetragen (Urk. 17). Per 1. September 2004 erfolgte eine Anpassung seines Arbeitsvertrages: Dem BeschwerdefÃ¼hrer wurde nach dem RÃ¼cktritt des GeschÃ¤ftsfÃ¼hrers D.___ ad interim die Leitung des Betriebes Ã¼bertragen, wobei die strategischen und finanziellen Entscheidungen durch den CEO Dr. E.___ Ã¼bernommen wurden. Das Aufgabengebiet des BeschwerdefÃ¼hrers wurde wie folgt umschrieben: Operative Leitung des Betriebes, Verkauf und Produkteentwicklung. Er hatte dem GeschÃ¤ftsfÃ¼hrer Bericht zu erstatten, und der Lohn wurde auf Fr. 117'000.-- in 13 Raten festgesetzt, die Ã¼brigen Bestimmungen des alten Vertrages wurden aufrecht erhalten (Urk. 6/22). Mit VerfÃ¼gung vom 6. Juni 2005 erÃ¶ffnete der Konkursrichter des F.___ Ã¼ber die A.___ den Konkurs (Urk. 17). Am 6. Juli 2005 bestÃ¤tigte die A.___, dass die Belegschaft per 3. Juni 2005 (Datum der Konkurseinreichung) freigestellt worden sei. Eine schriftliche KÃ¼ndigung sei nicht ausgestellt worden (Urk. 6/22). Das Konkursverfahren wurde mit VerfÃ¼gung des Konkursrichters des F.___ vom 26. Juli 2005 mangels Aktiven eingestellt und die Unternehmung am 22. MÃ¤rz 2006 von Amtes wegen gelÃ¶scht (Urk. 17).</w:t>
      </w:r>
    </w:p>
    <w:p>
      <w:r>
        <w:t>3.2Â Â Â Â  Die Beschwerdegegnerin verneinte die Anspruchsberechtigung des BeschwerdefÃ¼hrers mit VerfÃ¼gung vom 28. Juli 2005 zunÃ¤chst wegen NichterfÃ¼llung der Schadenminderungspflicht (unterlassene Wahrung seiner AnsprÃ¼che gegenÃ¼ber der Arbeitgeberin, Urk. 6/6). Nachdem der BeschwerdefÃ¼hrer am 14. September 2005 dagegen Einsprache erhoben hatte (Urk. 6/4), wurde ihm mit Schreiben vom 8. Februar 2006 mitgeteilt, dass die Anspruchsverneinung aufgrund des NichterfÃ¼llens der Schadenminderungspflicht nicht korrekt gewesen sei und die Beschwerdegegnerin erwÃ¤ge, die Anspruchsberechtigung wegen seiner seit dem Handelsregistereintrag vom 26. April 2004 bestehenden Situation als GeschÃ¤ftsfÃ¼hrer mit Kollektivunterschrift zu zweien zu verneinen. Dem BeschwerdefÃ¼hrer wurde diesbezÃ¼glich das rechtliche GehÃ¶r eingerÃ¤umt (Urk. 6/3). Dieser Ã¤usserte sich am 17. MÃ¤rz 2006 dahingehend (Urk. 6/3), dass er nach dem Ausscheiden von D.___ per 31. Juli 2005 allein schon durch die Eintragung der Kollektivzeichnungsberechtigung keine massgeblichen Entscheidungen mehr habe treffen kÃ¶nnen. Die alleinige Entscheidungsgewalt habe bei Dr. E.___ gelegen, der von den Gesellschaftern als Einzelzeichnungsberechtigter eingesetzt worden sei. Zudem habe er keinen direkten Kontakt zum Verwaltungsrat gehabt, und alle strategischen und finanziellen Entscheidungen seien weder von ihm getroffen worden, noch habe er diese beeinflussen kÃ¶nnen. Wenn er die Einzelzeichnungsberechtigung gehabt hÃ¤tte, wÃ¤ren einige Entscheide anders ausgefallen, eventuell hÃ¤tte gar der Konkurs verhindert werden kÃ¶nnen. Massgeblich zum Konkurs gefÃ¼hrt habe die Tatsache, dass die L.___ im Februar 2005 der A.___ ein Darlehen Ã¼ber Fr. 300'000.-- gewÃ¤hrt habe, was mit einer Zession beim grÃ¶ssten laufenden Auftrag, der Leuchtenlieferung Umfahrung G.___, rÃ¼ckversichert worden sei. Dies sei zwar in seinem Interesse gewesen. Ohne sein Wissen und EinverstÃ¤ndnis sei jedoch ein im Jahr 2004 gewÃ¤hrtes Darlehen Ã¼ber Fr. 100'000.-- aufgelÃ¶st und dann neu gewÃ¤hrt worden. Auch dieses sei mittels einer Zession rÃ¼ckversichert worden. Damit seien aber Fr. 300'000.-- aus der Unternehmung abgezogen worden, was die letzte Chance fÃ¼r das Ãberleben vernichtet habe. Der kurz bevorstehende Entscheid bezÃ¼glich des Ã¼berlebenswichtigen Auftrages "H.___" habe nicht mehr abgewartet werden kÃ¶nnen, und die Unternehmung habe Konkurs erlitten. Im Weiteren hÃ¤tten das Verhalten von Dr. E.___ und die unangepassten Forderungen der EigentÃ¼mer (RÃ¼ckzug aller Investitionen) dazu gefÃ¼hrt, dass der potentielle Investor I.___ nicht eingestiegen sei. Noch wÃ¤hrend des Auscheidens von D.___ habe der BeschwerdefÃ¼hrer mit Dr. E.___ Ã¼ber eine LÃ¶schung im Handelsregister oder eine andere Zeichnungsberechtigung gesprochen. Dieser habe ihn aber zurÃ¼ckgewiesen und auf einen Zeitpunkt nach der Ãbernahme durch einen neuen Investor vertrÃ¶stet. Durch die dauernde Ãberlastung und die angespannte Situation habe er es vernachlÃ¤ssigt, auf die LÃ¶schung zu bestehen. Zudem hÃ¤tte dies zu weiteren Spannungen mit den Vorgesetzten gefÃ¼hrt, was die laufenden Verhandlungen fÃ¼r ein Ãberleben der Unternehmung zusÃ¤tzlich gefÃ¤hrdet hÃ¤tte (Urk. 6/3).</w:t>
      </w:r>
    </w:p>
    <w:p>
      <w:r>
        <w:t>3.3Â Â Â Â  Der Rechtsvertreter des BeschwerdefÃ¼hrers im Verwaltungsverfahren fÃ¼hrte am 13. April 2006 zudem aus, dass Letzterer an der A.___ finanziell nicht beteiligt gewesen sei. Gesellschafter seien die A.___ Group AG sowie die J.___ GmbH in Wien gewesen. Die A.___ Group AG als Mehrheitsbeteiligte und einzig bestimmende Gesellschafterin sei durch Dr. E.___ direkt in der A.___ vertreten gewesen. Dr. E.___ habe mit Einzelunterschrift gezeichnet und aufgrund der Weisungen seiner Arbeitgeberin alle strategischen Entscheide gefÃ¤llt. Der BeschwerdefÃ¼hrer habe lediglich Ã¼ber eine kollektive Zeichnungsberechtigung verfÃ¼gt und sei damit auch organisatorisch Dr. E.___ klar unterstellt gewesen. Er habe damit nicht zum obersten Entscheidungsgremium gehÃ¶rt, wobei zu berÃ¼cksichtigen sei, dass die Unternehmung nur Ã¼ber zehn Mitarbeiter verfÃ¼gt habe. Der BeschwerdefÃ¼hrer habe einen Monatslohn von Fr. 8'000.-- erhalten, welcher unter demjenigen des Mitarbeiters Brunner gelegen habe. Seine Funktion kÃ¶nne als technischer Leiter bezeichnet werden, welcher die Aufgabe gehabt habe, Offerten zu erstellen und die technischen Verhandlungen mit den Kunden zu fÃ¼hren. DafÃ¼r habe ihm die kollektive Zeichnungsberechtigung erteilt werden mÃ¼ssen. Dr. E.___ sei als Leiter der Unternehmung nur reduziert anwesend gewesen. Ausser den reinen AuftragsbestÃ¤tigungen und WerkvertrÃ¤gen habe der BeschwerdefÃ¼hrer keine relevanten Unterlagen fÃ¼r die Unternehmung unterzeichnet. DarlehensvertrÃ¤ge oder andere finanzielle Verpflichtungen, bspw. auch die Entlassung von Mitarbeitern, seien seit dem Ausscheiden des ehemaligen GeschÃ¤ftsfÃ¼hrers Dr. K.___ im April 2004 nur durch Dr. E.___ unterzeichnet worden. Auch gegenÃ¼ber dem Konkursamt oder in den Verhandlungen mit der kanadischen Kaufinteressentin I.___ sei der BeschwerdefÃ¼hrer nicht in Erscheinung getreten. Er sei zwar betriebsintern der Gruppenchef gewesen, habe aber nicht zur obersten FÃ¼hrungsebene gehÃ¶rt und keine strategischen Entscheide gefÃ¤llt (Urk. 6/2).</w:t>
      </w:r>
    </w:p>
    <w:p>
      <w:r>
        <w:t>4.Â Â Â Â Â Â  Mit dem BeschwerdefÃ¼hrer ist dafÃ¼r zu halten, dass nach dem Beweisgrad der Ã¼berwiegenden Wahrscheinlichkeit nicht erstellt ist, dass er auf die Entscheide der A.___ derart massgeblich Einfluss nehmen konnte, dass sein Anspruch auf InsolvenzentschÃ¤digung verneint werden mÃ¼sste.</w:t>
      </w:r>
    </w:p>
    <w:p>
      <w:r>
        <w:t>4.1Â Â Â Â  Es trifft zwar zu, dass der BeschwerdefÃ¼hrer laut Handelsregistereintrag (vgl. Urk. 17) ab Juli 2002 zunÃ¤chst als GeschÃ¤ftsfÃ¼hrer mit Einzelzeichnungsberechtigung, ab Oktober 2003 als GeschÃ¤ftsfÃ¼hrer mit Kollektivunterschrift zu zweien, dann lediglich noch mit Kollektivprokura zu zweien und ab April 2004 wiederum als GeschÃ¤ftsfÃ¼hrer mit Kollektivunterschrift zu zweien im Handelsregister eingetragen war, was Ã¼ber die KonkurserÃ¶ffnung hinaus bis zur LÃ¶schung der Unternehmung von Amtes wegen so blieb. Ihm standen somit in rein formeller Hinsicht die Befugnisse als Mitglied eines obersten betrieblichen Entscheidgremiums zu. Im Gegensatz zu einem Verwaltungsrat, der gemÃ¤ss Art. 707 Abs. 1 des Obligationenrechts (OR) zwingend AktionÃ¤r sein muss und dem gemÃ¤ss Art. 716a Abs. 1 OR u.a. in Bezug auf die Oberleitung der Gesellschaft (Ziff. 1) unÃ¼bertragbare und unentziehbare Aufgaben zustehen, konnte dem BeschwerdefÃ¼hrer, der selber nicht Gesellschafter war, die GeschÃ¤ftsfÃ¼hrung und Vertretung durch Gesellschaftsbeschluss aufgrund gesetzlicher Bestimmungen indessen jederzeit entzogen werden (Art. 814 Abs. Â 3 OR). Die von der Beschwerdegegnerin noch im Einspracheentscheid vertretene Auffassung, bei GeschÃ¤ftsfÃ¼hrern einer GmbH bestehe per se eine arbeitgeberÃ¤hnliche Stellung (Urk. 2 S. 2), lÃ¤sst sich schon vor diesem Hintergrund nicht aufrechterhalten. Dies gilt im vorliegenden Fall umso mehr, als der BeschwerdefÃ¼hrer lediglich Ã¼ber eine kollektive Zeichnungsberechtigung verfÃ¼gt hat und das Bundesgericht - soweit ersichtlich - bisher auch die Frage offen gelassen hat, ob einem GeschÃ¤ftsfÃ¼hrer einer GmbH mit Einzelzeichnungsberechtigung per se eine arbeitgeberÃ¤hnliche Stellung zukommt (vgl. Urteil des EidgenÃ¶ssischen Versicherungsgerichts in Sachen L. vom 16. Januar 2006, C 128/05, Erw. 3).</w:t>
      </w:r>
    </w:p>
    <w:p>
      <w:r>
        <w:t>4.2Â Â Â Â Â Â Â Â  Alsdann weist gerade der Zusatz zum Arbeitsvertrag, welcher am 1. September 2004 in Kraft getreten ist, darauf hin, dass die Entscheidungsbefugnisse des BeschwerdefÃ¼hrers begrenzt waren. So umfassten diese zwar die operative Leitung des Unternehmens mitsamt Verkauf und Produkteentwicklung, er hatte aber dem CEO Dr. E.___ zu berichten, und die strategischen und finanziellen Entscheidungen wurden von diesem vorgenommen (vgl. Urk. 6/2). Diese Zweiteilung wurde auch gelebt. Der BeschwerdefÃ¼hrer unterschrieb zwar den Grossauftrag mit dem Kanton L.___ (Werkvertrag vom 8. Juli 2004 betreffend Umfahrung G.___, N.___, Lieferung der Durchfahrtsbeleuchtung Ã¼ber Fr. 1'182'855.--), wo er auch als verantwortlicher Baustellenchef aufgefÃ¼hrt ist (Urk. 6/12), was mithin darauf hindeutet, dass er Ã¼ber die fÃ¼r das tÃ¤gliche GeschÃ¤ft notwendigen Entscheidkompetenzen verfÃ¼gte, demgegenÃ¼ber Dr. E.___ strategische und finanzielle Entscheidungen wie InvestitionsantrÃ¤ge und DarlehensvertrÃ¤ge unterzeichnete und als einziger GeschÃ¤ftsfÃ¼hrer Ã¼ber die Einzelunterschrift verfÃ¼gte (Urk. 17). Dass diese strategischen Entscheide in Bezug auf das GeschÃ¤ftsvolumen auf den ersten Blick weniger weitreichende finanzielle Auswirkungen hatten, Ã¤ndert daran nichts. Zudem war Dr. E.___ hinsichtlich der allfÃ¤lligen Ãbernahme der A.___ durch die O.___ Inc. (nachfolgend O.___) ab FrÃ¼hjahr 2005 federfÃ¼hrend. Der Name des BeschwerdefÃ¼hrers figurierte zwar in allen E-Mails auf dem Cc-Verteiler. Dies vermag aber nicht darÃ¼ber hinwegzutÃ¤uschen, dass der CEO die entscheidende Person war, welche mit den Verantwortlichen von O.___ verhandelte. Aufgrund dieser UmstÃ¤nde kann der BeschwerdefÃ¼hrer nicht als dem obersten betrieblichen Entscheidungsgremium zugehÃ¶rig betrachtet werden.</w:t>
      </w:r>
    </w:p>
    <w:p>
      <w:r>
        <w:t>4.3Â Â Â Â  Als weiteres Indiz, dass der BeschwerdefÃ¼hrer die Entscheidungen der Arbeitgeber nicht massgeblich beeinflussen konnte, ist sein "bescheidenes" Grundgehalt von Fr. 117'000.-- ab September 2004 zu werten. Daran vermag auch die Aussicht auf eine Provision (bei Erreichung der vereinbarten persÃ¶nlichen und der Firmenziele) nichts zu Ã¤ndern.</w:t>
      </w:r>
    </w:p>
    <w:p>
      <w:r>
        <w:t>5.Â Â Â Â Â Â Â Â  Zusammenfassend ist die Beschwerde gutzuheissen, und es ist festzustellen, dass der BeschwerdefÃ¼hrer Anspruch auf InsolvenzentschÃ¤digung hat. Die Beschwerdegegnerin wird nach Eintritt der Rechtskraft des vorliegenden Entscheides Ã¼ber den Umfang der InsolvenzentschÃ¤digung zu entscheiden haben.</w:t>
      </w:r>
    </w:p>
    <w:p>
      <w:r>
        <w:t>Das Gericht erkennt:</w:t>
      </w:r>
    </w:p>
    <w:p>
      <w:r>
        <w:t>1.Â Â Â Â Â Â Â Â  In Gutheissung der Beschwerde wird der Einspracheentscheid der Arbeitslosenkasse des Kantons ZÃ¼rich vom 7. Juli 2006 aufgehoben, und es wird festgestellt, dass der BeschwerdefÃ¼hrer Anspruch auf InsolvenzentschÃ¤digung hat.</w:t>
      </w:r>
    </w:p>
    <w:p>
      <w:r>
        <w:t>2.Â Â Â Â Â Â Â Â  Das Verfahren ist kostenlos.</w:t>
      </w:r>
    </w:p>
    <w:p>
      <w:r>
        <w:t>3.Â Â Â Â Â Â Â Â Â Â  Zustellung gegen Empfangsschein an:</w:t>
      </w:r>
    </w:p>
    <w:p>
      <w:r>
        <w:t>- M.___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