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AL.2005.00342 vom 30. Mai 2006</w:t>
      </w:r>
    </w:p>
    <w:p>
      <w:r>
        <w:t>ZH Sozialversicherungsgericht, 2006-05-30, DE</w:t>
      </w:r>
    </w:p>
    <w:p>
      <w:r>
        <w:rPr>
          <w:b/>
        </w:rPr>
        <w:t xml:space="preserve">Quelle: </w:t>
      </w:r>
      <w:r>
        <w:t>https://mcp.opencaselaw.ch/entscheid/zh_sozialversicherungsgericht_AL.2005.00342</w:t>
      </w:r>
    </w:p>
    <w:p>
      <w:r>
        <w:t>FR: ZH_SOZIALVERSICHERUNGSGERICHT AL.2005.00342 du 30 mai 2006</w:t>
      </w:r>
    </w:p>
    <w:p>
      <w:r>
        <w:t>IT: ZH_SOZIALVERSICHERUNGSGERICHT AL.2005.00342 del 30 maggio 2006</w:t>
      </w:r>
    </w:p>
    <w:p>
      <w:pPr>
        <w:pStyle w:val="Heading2"/>
      </w:pPr>
      <w:r>
        <w:t>Erwägungen</w:t>
      </w:r>
    </w:p>
    <w:p>
      <w:r>
        <w:rPr>
          <w:b/>
        </w:rPr>
        <w:t>E. 3</w:t>
      </w:r>
    </w:p>
    <w:p>
      <w:r>
        <w:t>Zustellung gegen Empfangsschein an:</w:t>
      </w:r>
    </w:p>
    <w:p>
      <w:r>
        <w:t>- L.___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3.1</w:t>
      </w:r>
    </w:p>
    <w:p>
      <w:r>
        <w:t>Umstritten ist die HÃ¶he des versicherten Verdienstes. Die Beschwerdegegnerin begrÃ¼ndet das Festhalten an der VerfÃ¼gung damit, die BeschwerdefÃ¼hrerin kÃ¶nne sich nicht auf einen schriftlichen Arbeitsvertrag berufen, weshalb die Beschwerdegegnerin ihren Entscheid auf die in der Schweiz geltende betriebliche Normalarbeitszeit zwischen 40 und 44 Stunden pro Woche sowie auf die Angaben des ehemaligen Arbeitgebers der BeschwerdefÃ¼hrerin abstÃ¼tzen mÃ¼sse, wonach diese hier 42,5 Stunden pro Woche betrage (Urk. 2). DemgegenÃ¼ber stellt sich die BeschwerdefÃ¼hrerin auf den Standpunkt, die Ãberstunden seien in die Berechnung ebenfalls einzubeziehen. Sie habe in der Zeit vom 1. Juli 2002 bis zum 31. August 2004 insgesamt 5'261 Stunden gearbeitet (Urk. 1).</w:t>
      </w:r>
    </w:p>
    <w:p>
      <w:r>
        <w:t>3.2Â Â Â Â  Das Bundesgesetz Ã¼ber die Arbeit in Industrie, Gewerbe und Handel (Arbeitsgesetz, ArG, SR 822.11) und seine Verordnungen, deren Bestimmungen die BeschwerdefÃ¼hrerin als Angestellte eines Tankstellenshops unterstand, bezweckt</w:t>
      </w:r>
    </w:p>
    <w:p>
      <w:r>
        <w:t>Â Â Â Â Â Â Â Â  den Schutz der Gesundheit und der PersÃ¶nlichkeit des Arbeitsnehmers (Tschudi/ Geiser/Wyler, in: Handkommentar Arbeitsgesetz [Hrsg.: Geiser/von Kaenel/ Wyler], Bern 2005, S. 1 N 2). Das Gesetz regelt in Art. 9 Abs. 1 - ergÃ¤nzt durch diverse Verordnungsbestimmungen - die wÃ¶chentliche HÃ¶chstarbeitszeit und legt diese fÃ¼r Arbeitnehmer in industriellen Betrieben, fÃ¼r BÃ¼ropersonal, fÃ¼r technische und anderer Angestellte, mit Einschluss des Verkaufspersonals in Grossbetrieben des Detailhandels, auf 45 Stunden (lit. a) und fÃ¼r alle Ã¼brigen Arbeitnehmer auf 50 Stunden fest (lit. b). Darauf beruft sich die BeschwerdefÃ¼hrerin in ihrer Einspracheschrift, wenn sie geltend macht, diese Stundenanzahl sei der Berechnung ihres versicherten Verdienstes zugrunde zu legen (Urk. 8/6). FÃ¼r die dem Arbeitsgesetz unterstellten Arbeitnehmer handelt es sich dabei um die hÃ¶chstzulÃ¤ssige Wochenarbeitszeit (von Kaenel, a.a.O., Art. 9 ArG N 25). Bei geleisteten Arbeitsstunden, welche diese gesetzlich festgelegten HÃ¶chstarbeitszeiten Ã¼berschreiten, handelt es sich um Ãberzeit, welche - in der Regel - zu ÃberzeitentschÃ¤digung fÃ¼hrt.</w:t>
      </w:r>
    </w:p>
    <w:p>
      <w:r>
        <w:t>Â Â Â Â Â Â Â Â  Daneben existiert der Begriff der Ãberstundenarbeit. Als solche gilt die Arbeit, die Ã¼ber die im Einzelarbeits-, Normal- oder Gesamtarbeitsvertrag vereinbarte, im Betrieb geltende oder in der Branche Ã¼bliche Stundenzahl hinaus geleistet wird (BGE 116 II 70 Erw. 4a mit Hinweisen). In BGE 129 V 107 ff. Erw. 3 prÃ¼fte das EidgenÃ¶ssische Versicherungsgericht die Frage, ob auch die EntschÃ¤digung fÃ¼r Ãberstundenarbeit nicht zum versicherten Verdienst im Sinne von Art. 23 Abs. 1 AVIG gehÃ¶re. Es kam - unter BerÃ¼cksichtigung seiner Rechtsprechung sowie des Kreisschreibens des Staatssekretariats fÃ¼r Wirtschaft (seco) Ã¼ber die ArbeitslosenentschÃ¤digung (KS-ALE) Rz C2 (welche auch die Beschwerdegegnerin zitiert [Urk. 8/12]) - zum Schluss, dass die EntschÃ¤digung fÃ¼r Ãberstunden, mithin EinkÃ¼nfte, die mit einer Ã¼ber ein normales Arbeitnehmerpensum hinausgehenden BeschÃ¤ftigungen erzielt werden, fÃ¼r den versicherten Verdienst unbeachtlich sind. In einem neueren - und soweit ersichtlich letzten - Entscheid (vom 12. Februar 2004, in Sachen K., C 185/03, Erw. 3.3) hielt das EidgenÃ¶ssische Versicherungsgericht an dieser Praxis fest.</w:t>
      </w:r>
    </w:p>
    <w:p>
      <w:r>
        <w:rPr>
          <w:b/>
        </w:rPr>
        <w:t>E. 3.3</w:t>
      </w:r>
    </w:p>
    <w:p>
      <w:r>
        <w:t>BezÃ¼glich ihrer - offenbar zunÃ¤chst im Rahmen eines ZwischenverdienstesÂ  aufgenommenen - TÃ¤tigkeit als Allrounderin bei der A.___ verfÃ¼gt die BeschwerdefÃ¼hrerin nicht Ã¼ber einen schriftlichen Arbeitsvertrag (Urk. 8/34). In der Arbeitgeberbescheinigung bestÃ¤tigte die A.___, dass die Normalarbeitszeit im Betrieb 42,5 Stunden betrage (Urk. 8/13). Soweit die Beschwerdegegnerin in Anwendung der bundesgerichtlichen Rechtsprechung zur Nichtanrechnung von ÃberstundenentschÃ¤digung den versicherten Verdienst der BeschwerdefÃ¼hrerin auf der Basis eines wÃ¶chentlichen Arbeitspensums von 42,5 Stunden (beziehungsweise 184,45 Stunden monatlich; 42,5 : 5 x 21,7) und eines Stundenlohns von Fr. 21.66 (Grundlohn von Fr. 20.-- zuzÃ¼glich 8,33 % FerienentschÃ¤digung) berechnete (Urk. 8/6), ist diese Vorgehensweise nicht zu beanstanden. Der versicherte Verdienst wurde demnach korrekt auf Fr. 3'996.-- (gerundet) festgesetzt. Das mag fÃ¼r die BeschwerdefÃ¼hrerin, welche ihre Arbeit pflichtbewusst und sehr zuverlÃ¤ssig versehen hat und im Arbeitzeugnis als einsatzfreudig beschrieben wird (Urk. 8/35) und die es - gemÃ¤ss ihren eigenen Angaben - als ihre Pflicht ansah, die tÃ¤glich anfallenden Arbeiten zu Ende zu fÃ¼hren (Urk. 1 und Urk. 8/6) und die in der Zeit von Juli 2002 bis Juli 2004 monatlich zwischen 181 und 249 Stunden arbeitete (Urk. 3), hart sein. Es ist jedoch darauf hinzuweisen, dass die Tatsache, dass je nach wirtschaftlicher und betrieblicher Situation in nicht unerheblichem Ausmass Ãberstundenarbeit geleistet wird, wozu der Arbeitnehmer im Ãbrigen gemÃ¤ss Art. 321c Abs. 1 des Obligationenrechts (OR) soweit verpflichtet ist, als er sie zu leisten vermag und sie ihm nach Treu und Glauben zugemutet werden kann, wohl arbeitsrechtlich von Belang, in arbeitslosenversicherungsrechtlicher Hinsicht aufgrund der bereits erwÃ¤hnten hÃ¶chstrichterlichen Rechtsprechung aber nicht entscheidend ist (BGE 129 V 108 Erw. 3.2). Die Beschwerde ist somit abzuweisen.</w:t>
      </w:r>
    </w:p>
    <w:p>
      <w:r>
        <w:t>Das Gericht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