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AL.2005.00151 vom 26. Juli 2005</w:t>
      </w:r>
    </w:p>
    <w:p>
      <w:r>
        <w:t>ZH Sozialversicherungsgericht, 2005-07-26, DE</w:t>
      </w:r>
    </w:p>
    <w:p>
      <w:r>
        <w:rPr>
          <w:b/>
        </w:rPr>
        <w:t xml:space="preserve">Quelle: </w:t>
      </w:r>
      <w:r>
        <w:t>https://mcp.opencaselaw.ch/entscheid/zh_sozialversicherungsgericht_AL.2005.00151</w:t>
      </w:r>
    </w:p>
    <w:p>
      <w:r>
        <w:t>FR: ZH_SOZIALVERSICHERUNGSGERICHT AL.2005.00151 du 26 juillet 2005</w:t>
      </w:r>
    </w:p>
    <w:p>
      <w:r>
        <w:t>IT: ZH_SOZIALVERSICHERUNGSGERICHT AL.2005.00151 del 26 luglio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Die Anspruchsberechtigung des BeschwerdefÃ¼hrers wurde im angefochtenen Entscheid mit der mangelnden ErfÃ¼llung der Beitragszeit und in der Beschwerdeantwort zudem mit der Rechtsprechung bezÃ¼glich der ArbeitslosenentschÃ¤digung arbeitgeberÃ¤hnlicher Personen verneint.</w:t>
      </w:r>
    </w:p>
    <w:p>
      <w:r>
        <w:t>3.2Â Â Â Â  In der Rechtsanwendung von Amtes wegen ist die Substitution der Motive inbegriffen, vermittelst derer das Gericht eine im Ergebnis richtige, aber falsch begrÃ¼ndete VerfÃ¼gung mit anderen rechtlichen Ãberlegungen bestÃ¤tigt (BGE 116 V 26 f., 105 V 201 Erw. 1a).</w:t>
      </w:r>
    </w:p>
    <w:p>
      <w:r>
        <w:t>3.3Â Â Â Â  Der BeschwerdefÃ¼hrer arbeitete bis am 6. Dezember 2004 bei der A.___ GmbH, als deren Gesellschafter und GeschÃ¤ftsfÃ¼hrer mit Einzelunterschrift er im Handelsregister des Kantons ZÃ¼rich eingetragen war (Urk. 9). Die GmbH wurde mit Beschluss der Gesellschafterversammlung vom 7. Dezember 2004 aufgelÃ¶st und befindet sich seither in Liquidation, wobei der Versicherte vorerst als Gesellschafter, GeschÃ¤ftsfÃ¼hrer sowie Liquidator mit Einzelunterschrift und seit 22. Dezember 2004 als Gesellschafter ohne Zeichnungsberechtigung mit einer Stammeinlage von Fr. 19'000.- im Handelsregister eingetragen ist (Urk. 9, Urk. 14).</w:t>
      </w:r>
    </w:p>
    <w:p>
      <w:r>
        <w:t>3.4Â Â Â Â  GemÃ¤ss der unter ErwÃ¤gung 1.4 zitierten Rechtsprechung des EVG bleibt eine arbeitgeberÃ¤hnliche Stellung bestehen, bis eine Gesellschaft oder der betroffene Gesellschafter im Handelsregister gelÃ¶scht wird. Im vorliegenden Fall ist die LÃ¶schung der A.___ GmbH bis heute noch nicht erfolgt und auch der BeschwerdefÃ¼hrer ist nach wie vor als Gesellschafter eingetragen (Urk. 14). Keinen Einfluss auf die arbeitgeberÃ¤hnliche Stellung hat die LÃ¶schung der Zeichnungsberechtigung am 22. Dezember 2004, denn auch nach deren LÃ¶schung behielt der BeschwerdefÃ¼hrer eine faktische Organfunktion als Mehrheitsgesellschafter der GmbH. Als solcher kann er aufgrund der rechtlichen Ausgestaltung der GmbH nach wie vor Einfluss auf diese nehmen.</w:t>
      </w:r>
    </w:p>
    <w:p>
      <w:r>
        <w:t>Â Â Â Â Â Â Â Â  Deshalb ist die Anspruchsberechtigung des BeschwerdefÃ¼hrers ab 7. Dezember 2004 zu verneinen, da dieser seine arbeitgeberÃ¤hnliche Stellung bei der A.___ GmbH zumindest faktisch bis heute noch inne hat, auch wenn die Gesellschaft mit Beschluss vom 7. Dezember 2004 aufgelÃ¶st worden ist. Mithin besteht kein Anspruch auf ArbeitslosenentschÃ¤digung solange die endgÃ¼ltige LÃ¶schung der Gesellschaft oder des BeschwerdefÃ¼hrers als Gesellschafter im Handelsregister nicht erfolgt ist.</w:t>
      </w:r>
    </w:p>
    <w:p>
      <w:r>
        <w:t>Â Â Â Â Â Â Â Â  Somit kann dahingestellt bleiben, wie es sich mit der ErfÃ¼llung der Beitragszeit verhÃ¤lt und die Beschwerde ist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Hans Kupfer</w:t>
      </w:r>
    </w:p>
    <w:p>
      <w:r>
        <w:t>- Arbeitslosenkasse SYNA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