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AL.2005.00046 vom 13. September 2005</w:t>
      </w:r>
    </w:p>
    <w:p>
      <w:r>
        <w:t>ZH Sozialversicherungsgericht, 2005-09-13, DE</w:t>
      </w:r>
    </w:p>
    <w:p>
      <w:r>
        <w:rPr>
          <w:b/>
        </w:rPr>
        <w:t xml:space="preserve">Quelle: </w:t>
      </w:r>
      <w:r>
        <w:t>https://mcp.opencaselaw.ch/entscheid/zh_sozialversicherungsgericht_AL.2005.00046</w:t>
      </w:r>
    </w:p>
    <w:p>
      <w:r>
        <w:t>FR: ZH_SOZIALVERSICHERUNGSGERICHT AL.2005.00046 du 13 septembre 2005</w:t>
      </w:r>
    </w:p>
    <w:p>
      <w:r>
        <w:t>IT: ZH_SOZIALVERSICHERUNGSGERICHT AL.2005.00046 del 13 settembre 2005</w:t>
      </w:r>
    </w:p>
    <w:p>
      <w:pPr>
        <w:pStyle w:val="Heading2"/>
      </w:pPr>
      <w:r>
        <w:t>Erwägungen</w:t>
      </w:r>
    </w:p>
    <w:p>
      <w:r>
        <w:rPr>
          <w:b/>
        </w:rPr>
        <w:t>E. 3</w:t>
      </w:r>
    </w:p>
    <w:p>
      <w:r>
        <w:t>Â Â Â Â Â</w:t>
      </w:r>
    </w:p>
    <w:p>
      <w:r>
        <w:t>3.1Â Â Â Â Â  Nachdem fÃ¼r den Entscheid Ã¼ber den Streitpunkt (vgl. vorstehende Erw. 1) auf den Zeitpunkt abzustellen ist, wie er sich bis zum Einspracheentscheid entwikkelt hat (vgl. vorstehende Erw. 2.1), bleibt die erst im Januar 2005 bekanntgewordene Zusprechung einer ganzen Rente der Invalidenversicherung ab 1. November 2003 (vgl. vorstehend Ziff. 2 Sachverhalt) fÃ¼r den vorliegenden Entscheid unbeachtlich, weshalb es der Verwaltung unbenommen bleibt, diese neue erhebliche Tatsache bei ihren allfÃ¤lligen spÃ¤teren Entscheiden entsprechend zu berÃ¼cksichtigen.</w:t>
      </w:r>
    </w:p>
    <w:p>
      <w:r>
        <w:t>3.2Â Â Â Â Â  Die Kasse hielt der BeschwerdefÃ¼hrerin vor, sie sei aufgrund ihrer Ã¤rztlich bestÃ¤tigten ArbeitsunfÃ¤higkeit im Ausmass von 70 % nicht in der Lage gewesen, sich ab 2. August 2004 fÃ¼r eine Vollzeitstelle zur VerfÃ¼gung zu halten. Die BeschwerdefÃ¼hrerin weist ihrerseits im Wesentlichen darauf hin, dass sich seit dem 2. August 2004 und dem Zeitpunkt, auf den das RAV den Vermittlungsgrad auf 100 % festlegte (1. Dezember 2004) nichts geÃ¤ndert habe; nach wie vor suche sie Vollzeitstellen und erfÃ¼lle ihre Kontrollpflichten; auch zeige der Entscheid des RAV, dass die ursprÃ¼ngliche Festsetzung des Vermittlungsgrades auf 30 % unzutreffend gewesen sei (Urk. 1 S. 5).</w:t>
      </w:r>
    </w:p>
    <w:p>
      <w:r>
        <w:t>3.3Â Â Â Â Â  In der einsprachemÃ¤ssig bestÃ¤tigten VerfÃ¼gung vom 9. September 2004 hat die Verwaltung eine VermittlungsfÃ¤higkeit von 30 % angenommen, ist somit - jedenfalls dem Wortlaut nach - davon ausgegangen, dass die VermittlungsfÃ¤higkeit eine masslich abstufbare GrÃ¶sse sei. Dies steht im Widerspruch zur Abgrenzung von anrechenbarem Arbeitsausfall und VermittlungsfÃ¤higkeit gemÃ¤ss der vorstehend zitierten Rechtsprechung (vgl. vorstehende Erw. 2.2), die eine Abstufung der Letzteren ausschliesst. Nach dem Gesagten nahm die Verwaltung in Wirklichkeit an, dass die BeschwerdefÃ¼hrerin ab dem genannten Datum lediglich einen Arbeitsausfall von 30 % erleide und folglich in diesem Umfang entschÃ¤digungsberechtigt sei.</w:t>
      </w:r>
    </w:p>
    <w:p>
      <w:r>
        <w:t>3.4Â Â Â Â Â  Nachdem die BeschwerdefÃ¼hrerin am 19. Dezember 2002 Leistungen der Invalidenversicherung beantragte, sie sich am 21. Juli 2004 zum Bezug von Taggeldleistungen der Arbeitslosenversicherung ab August 2004 anmeldete, der Entscheid der Invalidenversicherung wÃ¤hrend des Beurteilungszeitraums (2. August bis 30. November 2004) noch ausstehend war und die Akten keine Hinweise auf eine offensichtliche VermittlungsunfÃ¤higkeit enthalten, ist vorfrageweise davon auszugehen, dass sie entgegen der Annahme der Verwaltung wÃ¤hrend des Beurteilungszeitraums vermittlungsfÃ¤hig war.</w:t>
      </w:r>
    </w:p>
    <w:p>
      <w:r>
        <w:t>3.5Â Â Â Â Â  Steht der Annahme der VermittlungsfÃ¤higkeit kein Einwand entgegen, ist nachfolgend zu prÃ¼fen, wie es sich mit dem anrechenbaren Arbeitsausfall verhÃ¤lt. Nachdem sich der anrechenbare Arbeitsausfall grundsÃ¤tzlich nach der Differenz zwischen dem Umfang der verlorenen und dem Umfang der (objektiv mÃ¶glichen und der subjektiv gewollten) gesuchten Arbeit bemisst (vgl. dazu vorstehende Erw. 2.4), ist nachfolgend zu prÃ¼fen, wie es sich damit verhÃ¤lt. Die BeschwerdefÃ¼hrerin war bis bei ihrer Arbeitgeberin zum 31. Juli 2004 im Umfang von 100 % einer VollzeitbeschÃ¤ftigung angestellt. Zum Zeitpunkt ihrer Anmeldung zum Taggeldbezug erklÃ¤rte sie sich im Antrag auf ArbeitslosenentschÃ¤digung zur Annahme einer Vollzeitstelle bereit und in der Lage; andrerseits bestÃ¤tigte sie in der Anmeldung zur Arbeitsvermittlung, sie wÃ¼nsche sich eine TÃ¤tigkeit Âganztags, (zu) 30 %Â, was durchaus als eine Korrektur der einen Tag zuvor niedergelegten Vermittlungsbereitschaft interpretiert werden kÃ¶nnte. Im Zusammenhang mit den Ã¤rztlichen Bescheinigungen ergibt sich jedoch mit Ã¼berwiegender Wahrscheinlichkeit, dass die BeschwerdefÃ¼hrerin ihre Angabe in der Anmeldung zur Arbeitsvermittlung (30 %) im Wissen um die von Dr. med. B.___, Facharzt FMH fÃ¼r Innere Medizin/Kardiologie, bescheinigte ArbeitsunfÃ¤higkeit gemacht hat. In dem (nicht datierten) Zeugnis (Urk. 10/31) wird fÃ¼r den Beurteilungszeitraum eine ArbeitsunfÃ¤higkeit von ca. 70 % attestiert, was vom Arzt im Zeugnis vom 15. November 2004 (Urk. 10/9) insofern prÃ¤zisiert wurde, als er festhielt, die ArbeitsunfÃ¤higkeit betrage lediglich im bisherigen Beruf 70 %, fÃ¼r eine angepasste TÃ¤tigkeit sei die BeschwerdefÃ¼hrerin jedoch zu 100 % arbeitsfÃ¤hig.</w:t>
      </w:r>
    </w:p>
    <w:p>
      <w:r>
        <w:t>Â Â Â Â Â Â Â Â Â  Die BeschwerdefÃ¼hrerin war bei ihrer vormaligen Arbeitgeberin - einem Unternehmen der Medienbranche - als VerkÃ¤uferin (Video) angestellt (Urk. 10/35). Am 22. Juli 2004 bestÃ¤tigte sie, auch weiterhin der bisher ausgeÃ¼bten TÃ¤tigkeit (VerkÃ¤uferin/Video) nachgehen zu wollen. Bei dieser Ausgangslage durfte die Verwaltung davon ausgehen, dass die BeschwerdefÃ¼hrerin im bisherigen TÃ¤tigkeitsbereich verbleiben wollte, was aufgrund ihrer 70%igen ArbeitsunfÃ¤higkeit objektiv lediglich im Ausmass von 30 % mÃ¶glich gewesen wÃ¤re. Da die wÃ¶chentliche Arbeitszeit bei der ehemaligen Arbeitgeberin 45 Stunden betrug und konnte die (ganz arbeitslose) BeschwerdefÃ¼hrerin im Beurteilungszeitraum lediglich im Umfang von 30 % die gewÃ¼nschte ErwerbstÃ¤tigkeit ausÃ¼ben, betrÃ¤gt der anrechenbare Arbeitsausfall ebenfalls 30 %, mithin 13.5 Stunden pro Woche.</w:t>
      </w:r>
    </w:p>
    <w:p>
      <w:r>
        <w:t>3.6Â Â Â Â Â  Der Durchschnittslohn der letzten sechs Beitragsmonate von Fr. 3'800.-- ist nicht bestritten (Urk. 1, Urk. 2, Urk. 10/30) und ergibt sich auch aus den Akten (Urk. 10/36). Bleibt der ermittelte versicherte Verdienst grundsÃ¤tzlich erhalten (vgl. vorstehende Erw. 2.5) und ist der anrechenbare Arbeitsausfall nicht beim versicherten Verdienst, sondern beim Taggeld zu berÃ¼cksichtigen, betrÃ¤gt das Taggeld beim Ansatz von 80 % Fr. 140.09 (Fr. 3'800.-- x 0.8 = Fr. 3'040.--; Fr. 3'040.-- : 21.7) beziehungsweise nach entsprechender KÃ¼rzung auf 30 % Fr. 42.02 (vgl. zur HÃ¶he des Taggeldes Art. 22 Abs. 1 und 2 AVIG; vgl. zum Umrechnungsfaktor 21. 7 Art. 40a AVIV).</w:t>
      </w:r>
    </w:p>
    <w:p>
      <w:r>
        <w:t>Â Â Â Â Â Â Â Â Â  Da die BeschwerdefÃ¼hrerin die Voraussetzungen fÃ¼r die Anwendbarkeit von Art. 40b AVIV (vgl. vorstehende Erw. 2.5 Schluss) erfÃ¼llt, ist zu prÃ¼fen, ob das Vorgehen nach der Verordnungsbestimmung ein anderes Resultat bewirkt. Wird der versicherte Verdienst um 30 % von Fr. 3'800.-- auf Fr. 1'140.-- gekÃ¼rzt und dieser Betrag mit den anwendbaren Taggeldsatz von 80 % multipliziert, ergibt sich als durchschnittliche ArbeitslosenentschÃ¤digung pro Monat ein Betrag von Fr. 912.--. Geteilt durch den Umrechnungsfaktor 21.7 ergibt dies ebenfalls einen Taggeldsatz von Fr. 42.02, weshalb auf die etwas unterschiedlichen Berechnungsmethoden (Regel- und Anwendungsfall Art. 40b AVIV) nicht weiter eingegangen zu werden braucht.</w:t>
      </w:r>
    </w:p>
    <w:p>
      <w:r>
        <w:t>4.Â Â Â Â Â Â  Zusammenfassend bleibt festzuhalten, dass das Vorgehen der Verwaltung im Ergebnis nicht zu beanstanden ist, auch wenn von der verunklarenden Vermischung von VermittlungsfÃ¤higkeit, Vermittlungsgrad, versichertem Verdienst nach der vorstehend angefÃ¼hrten Rechtsprechung Abstand genommen werden sollte.</w:t>
      </w:r>
    </w:p>
    <w:p>
      <w:r>
        <w:t>Â Â Â Â Â Â Â Â Â  Nach dem Gesagten ist der angefochtene Einspracheentscheid vom 2. Dezember 2004 zu schÃ¼tzen und die dagegen erhobene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Procap Schweizerischer Invaliden-Verband</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