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AL.2004.00610 vom 5. Januar 2006</w:t>
      </w:r>
    </w:p>
    <w:p>
      <w:r>
        <w:t>ZH Sozialversicherungsgericht, 2006-01-05, DE</w:t>
      </w:r>
    </w:p>
    <w:p>
      <w:r>
        <w:rPr>
          <w:b/>
        </w:rPr>
        <w:t xml:space="preserve">Quelle: </w:t>
      </w:r>
      <w:r>
        <w:t>https://mcp.opencaselaw.ch/entscheid/zh_sozialversicherungsgericht_AL.2004.00610</w:t>
      </w:r>
    </w:p>
    <w:p>
      <w:r>
        <w:t>FR: ZH_SOZIALVERSICHERUNGSGERICHT AL.2004.00610 du 5 janvier 2006</w:t>
      </w:r>
    </w:p>
    <w:p>
      <w:r>
        <w:t>IT: ZH_SOZIALVERSICHERUNGSGERICHT AL.2004.00610 del 5 gennaio 2006</w:t>
      </w:r>
    </w:p>
    <w:p>
      <w:pPr>
        <w:pStyle w:val="Heading2"/>
      </w:pPr>
      <w:r>
        <w:t>Erwägungen</w:t>
      </w:r>
    </w:p>
    <w:p>
      <w:r>
        <w:rPr>
          <w:b/>
        </w:rPr>
        <w:t>E. 1</w:t>
      </w:r>
    </w:p>
    <w:p>
      <w:r>
        <w:t>Â Â Â Â Â  Als Zwischenverdienst gilt jedes Einkommen aus unselbststÃ¤ndiger oder selbststÃ¤ndiger ErwerbstÃ¤tigkeit, das der Arbeitslose innerhalb einer Kontrollperiode erzielt. Der Versicherte hat Anspruch auf Ersatz des Verdienstausfalls (Art. 24 Abs. 1 des Bundesgesetzes Ã¼ber die obligatorische Arbeitslosenversicherung und die InsolvenzentschÃ¤digung, AVIG). Als Verdienstausfall gilt die Differenz zwischen dem in der Kontrollperiode erzielten Zwischenverdienst, mindestens aber dem berufs- und ortsÃ¼blichen Ansatz fÃ¼r die betreffende Arbeit, und dem versicherten Verdienst (Art. 24 Abs. 3 AVIG).</w:t>
      </w:r>
    </w:p>
    <w:p>
      <w:r>
        <w:t>Â Â Â Â Â Â Â Â  Sinn und Zweck der EntschÃ¤digung des Verdienstausfalles in Form von Differenzausgleich (vgl. zum Begriff BGE 125 V 487 oben mit Hinweisen) ist die FÃ¶rderung der Annahme lohnmÃ¤ssig unzumutbarer Arbeiten (BGE 125 V 490 Erw. 4c/cc). Mit dem Korrektiv der Berufs- und OrtsÃ¼blichkeit der EntlÃ¶hnung soll verhindert werden, dass Arbeitgeber und Arbeitnehmer im Sinne eines Lohndumping einen zu niedrigen Verdienst vereinbaren, um die Differenz zu Lasten der Arbeitslosenversicherung entschÃ¤digen zu lassen (BGE 129 V 103 Erw. 3.3, 120 V 245 Erw. 3c; ARV 1998 Nr. 33 S. 181 Erw. 2).</w:t>
      </w:r>
    </w:p>
    <w:p>
      <w:r>
        <w:rPr>
          <w:b/>
        </w:rPr>
        <w:t>E. 2</w:t>
      </w:r>
    </w:p>
    <w:p>
      <w:r>
        <w:t>2.1Â Â Â Â  GemÃ¤ss Art. 27 des Bundesgesetzes Ã¼ber den Allgemeinen Teil des Sozialversicherungsrechts (ATSG) sind die VersicherungstrÃ¤ger und DurchfÃ¼hrungsorgane der einzelnen Sozialversicherungen verpflichtet, im Rahmen ihres ZustÃ¤ndigkeitsbereiches die interessierten Personen Ã¼ber ihre Rechte und Pflichten aufzuklÃ¤ren (Abs. 1). Jede Person hat Anspruch auf grundsÃ¤tzlich unentgeltliche Beratung Ã¼ber ihre Rechte und Pflichten. DafÃ¼r zustÃ¤ndig sind die VersicherungstrÃ¤ger, denen gegenÃ¼ber die Rechte geltend zu machen oder die Pflichten zu erfÃ¼llen sind (Abs. 2).</w:t>
      </w:r>
    </w:p>
    <w:p>
      <w:r>
        <w:t>2.2Â Â Â Â  GemÃ¤ss neuester Rechtsprechung des EidgenÃ¶ssischen Versicherungsgerichts (EVG) stipuliert Art. 27 Abs. 1 ATSG eine allgemeine und permanente AufklÃ¤rungspflicht der VersicherungstrÃ¤ger und DurchfÃ¼hrungsorgane, die nicht erst auf persÃ¶nliches Verlangen der interessierten Personen zu erfolgen hat, und hauptsÃ¤chlich durch die Abgabe von InformationsbroschÃ¼ren, MerkblÃ¤ttern und Wegleitungen erfÃ¼llt wird. Art. 27 Abs. 2 ATSG beschlÃ¤gt sodann ein individuelles Recht auf Beratung durch den zustÃ¤ndigen VersicherungstrÃ¤ger. Jede versicherte Person kann vom VersicherungstrÃ¤ger im konkreten Einzelfall eine unentgeltliche Beratung Ã¼ber ihre Rechte und Pflichten verlangen (zur Publikation vorgesehenes Urteil des EVG vom 14. September 2005 in Sachen F., C 192/04, sowie Urteil vom 28. Oktober 2005 in Sachen W., C 157/05).</w:t>
      </w:r>
    </w:p>
    <w:p>
      <w:r>
        <w:t>Â Â Â Â Â Â Â Â  Mit der EinfÃ¼hrung dieser allgemeinen AufklÃ¤rungs- und Beratungspflicht der Sozialversicherer auf den 1. Januar 2003 wurde in der Arbeitslosenversicherung die Bestimmung des Art. 20 Abs. 4 der Verordnung Ã¼ber die obligatorische Arbeitslosenversicherung und die InsolvenzentschÃ¤digung (AVIV; in der ab 1. Januar 1997 gÃ¼ltig gewesenen Fassung) aufgehoben, wonach die zustÃ¤ndige Amtsstelle den Versicherten auf seine Pflichten nach Art. 17 AVIG aufmerksam machte, insbesondere auf seine Pflicht, sich um Arbeit zu bemÃ¼hen.</w:t>
      </w:r>
    </w:p>
    <w:p>
      <w:r>
        <w:t>2.3Â Â Â Â  Nach der vor Inkrafttreten des ATSG ergangenen (und mithin fÃ¼r die dem ATSG unterstehenden Sozialversicherungszweige heute Ã¼berholten) Rechtsprechung (ARV 2002 S. 113, 2000 Nr. 20 S. 98 Erw. 2b; BGE 124 V 220 Erw. 2b) bestand keine umfassende Auskunfts-, Beratungs- und Belehrungspflicht der BehÃ¶rden (unter Vorbehalt von Art. 16 des Bundesgesetzes Ã¼ber die Krankenversicherung in der bis 31. Dezember 2002 geltenden Fassung), namentlich auch nicht gestÃ¼tzt auf den verfassungsmÃ¤ssigen Grundsatz von Treu und Glauben. Unter der damals herrschenden Rechtslage brauchten die Organe der Arbeitslosenversicherung daher - vorbehÃ¤ltlich des vom 1. Januar 1997 bis 31. Dezember 2002 gÃ¼ltig gewesenen Art. 20 Abs. 4 AVIV (bis Ende 1996 Art. 19 Abs. 4 AVIV) - von Verfassungs wegen nicht von sich aus - spontan, ohne vom Versicherten angefragt worden zu sein - AuskÃ¼nfte zu erteilen oder auf drohende Rechtsnachteile aufmerksam zu machen. Dies galt auch fÃ¼r drohende Verluste sozialversicherungsrechtlicher Leistungen. Eine in ihrer Tragweite beschrÃ¤nkte Abweichung davon ergab sich aus Art. 20 Abs. 4 AVIV (in der bis 31. Dezember 2002 geltenden Fassung), welche Bestimmung den den ArbeitsÃ¤mtern gesetzlich zugewiesenen Informationsauftrag klar umriss.</w:t>
      </w:r>
    </w:p>
    <w:p>
      <w:r>
        <w:t>Â Â Â Â Â Â Â Â  Die Anwendung dieser GrundsÃ¤tze fÃ¼hrte namentlich dazu, dass die Verwaltung die Versicherten nicht von sich aus Ã¼ber die Folgen der Aufnahme einer ZwischenverdiensttÃ¤tigkeit, namentlich der Aufnahme einer solchen mit einem unter dem orts- und berufsÃ¼blichen liegenden Lohn (ARV 2000 Nr. 20 S. 95), zu informieren hatte (unverÃ¶ffentlichte Urteile des EVG vom 4. Juli 1997 in Sachen L., C 181/96, und vom 30. August 1999 in Sachen S., C 125/97).</w:t>
      </w:r>
    </w:p>
    <w:p>
      <w:r>
        <w:rPr>
          <w:b/>
        </w:rPr>
        <w:t>E. 3</w:t>
      </w:r>
    </w:p>
    <w:p>
      <w:r>
        <w:t>3.1Â Â Â Â  Aufgrund des Wortlautes sowie des Sinnes und Zwecks von Art. 27 Abs. 2 ATSG (ErmÃ¶glichung eines Verhaltens, welches zum Eintritt einer den gesetzgeberischen Zielen des betreffenden Erlasses entsprechenden Rechtsfolge fÃ¼hrt) steht mit Blick auf den zu beurteilenden Sachverhalt fest, dass es auf jeden Fall zum Kern der Beratungspflicht gehÃ¶rt, die versicherte Person darauf aufmerksam zu machen, dass die Annahme einer Stelle zu einem nicht orts- und branchenÃ¼blichen Lohn ihren Leistungsanspruch gefÃ¤hrden kann.</w:t>
      </w:r>
    </w:p>
    <w:p>
      <w:r>
        <w:t>Â Â Â Â Â Â Â Â  GrundsÃ¤tzlich dient die Aufnahme einer ZwischenverdiensttÃ¤tigkeit wÃ¤hrend der Arbeitslosigkeit den Interessen der Versicherung und wird von dieser erwÃ¼nscht und sogar gefÃ¶rdert. Dabei birgt Art. 24 Abs. 3 AVIG im Besonderen die Gefahr in sich, dass der Versicherte - mit der Annahme einer neuen, lohnmÃ¤ssig auch unzumutbaren Stelle - Gefahr lÃ¤uft, seine Rechtsstellung zu verschlechtern. Abgesehen davon, dass der gesetzgeberische Sinn dieser Regelung (Verhinderung von Lohndumping) fÃ¼r Versicherte nicht ohne weiteres klar ist, mangelt es den an der Schadenminderung interessierten Versicherten nicht selten an hinreichend zuverlÃ¤ssigen Kenntnissen betreffend die orts- und branchenÃ¼blichen LÃ¶hne. Erfolgt die PrÃ¼fung der Orts- und BranchenÃ¼blichkeit erst nach geleisteter Arbeit, setzt sich der Versicherte der Gefahr aus, einen ungedeckten Verdienstausfall im Ausmass der Differenz zwischen dem effektiv erzielten und dem fiktiven Lohn zu erleiden.</w:t>
      </w:r>
    </w:p>
    <w:p>
      <w:r>
        <w:t>Â Â Â Â Â Â Â Â  Daher ist unter der Herrschaft von Art. 27 Abs. 2 ATSG von den Organen der Arbeitslosenversicherung zu verlangen, dass sie die Versicherten nicht nur bei der Anmeldung zum Leistungsbezug auf die Gefahr eines Anspruchsverlusts bei der AusÃ¼bung einer ZwischenverdiensttÃ¤tigkeit hinweisen, sondern deren Vereinbarungen fÃ¼r ZwischenverdiensttÃ¤tigkeiten vor dem Vertragsabschluss innert nÃ¼tzlicher Frist auf die Berufs- und OrtsÃ¼blichkeit des vorgesehenen Entgelts prÃ¼fen.</w:t>
      </w:r>
    </w:p>
    <w:p>
      <w:r>
        <w:t>3.2Â Â Â Â  Unterbleibt eine Auskunft entgegen gesetzlicher Vorschrift oder obwohl sie nach den im Einzelfall gegebenen UmstÃ¤nden geboten war, hat die Rechtsprechung dies der Erteilung einer unrichtigen Auskunft gleichgestellt (nicht publiziertes Urteil vom 28. Oktober 2005 in Sachen W., C 157/05, mit zahlreichen Hinweisen).</w:t>
      </w:r>
    </w:p>
    <w:p>
      <w:r>
        <w:t>Â Â Â Â Â Â Â Â  Abgeleitet aus dem Grundsatz von Treu und Glauben, welcher den BÃ¼rger in seinem berechtigten Vertrauen auf behÃ¶rdliches Verhalten schÃ¼tzt, kÃ¶nnen falsche AuskÃ¼nfte von VerwaltungsbehÃ¶rden unter bestimmten Voraussetzungen eine vom materiellen Recht abweichende Behandlung des Rechtsuchenden gebieten. GemÃ¤ss Rechtsprechung und Doktrin ist dies der Fall, 1. wenn die BehÃ¶rde in einer konkreten Situation mit Bezug auf bestimmte Personen gehandelt hat; 2. wenn sie fÃ¼r die Erteilung der betreffenden Auskunft zustÃ¤ndig war oder wenn die rechtsuchende Person die BehÃ¶rde aus zureichenden GrÃ¼nden als zustÃ¤ndig betrachten durfte; 3. wenn die Person die Unrichtigkeit der Auskunft nicht ohne weiteres erkennen konnte; 4. wenn sie im Vertrauen auf die Richtigkeit der Auskunft Dispositionen getroffen hat, die nicht ohne Nachteil rÃ¼ckgÃ¤ngig gemacht werden kÃ¶nnen und 5. wenn die gesetzliche Ordnung seit der Auskunftserteilung keine Ãnderung erfahren hat (nicht publiziertes Urteil vom 28. Oktober 2005 in Sachen W., C 157/05 mit zahlreichen Hinweisen).</w:t>
      </w:r>
    </w:p>
    <w:p>
      <w:r>
        <w:t>Â Â Â Â Â Â Â Â  RechtsprechungsgemÃ¤ss sind keine GrÃ¼nde ersichtlich, diese Gleichstellung von pflichtwidrig unterbliebener Beratung und unrichtiger Auskunftserteilung nach der Kodifizierung einer umfassenden Beratungspflicht im ATSG aufzugeben (nicht publiziertes Urteil vom 28. Oktober 2005 in Sachen W., C 157/05 mit Hinweisen).</w:t>
      </w:r>
    </w:p>
    <w:p>
      <w:r>
        <w:rPr>
          <w:b/>
        </w:rPr>
        <w:t>E. 4</w:t>
      </w:r>
    </w:p>
    <w:p>
      <w:r>
        <w:t>4.1Â Â Â Â  Aufgrund der Akten ist erstellt, dass der BeschwerdefÃ¼hrer am 28. Mai 2004 die Beschwerdegegnerin darÃ¼ber informierte, dass er in jener Kontrollperiode die ZwischenverdiensttÃ¤tigkeit bei der B.___ GmbH aufgenommen und bei einem Pensum von 16 Wochenstunden einen Bruttolohn von Fr. 1'000.-- vereinbart hat; die Beschwerdegegnerin hat gemÃ¤ss Eingangsstempel davon am 1. Juni 2004 darÃ¼ber Kenntnis erlangt (Urk. 8/44/2, Urk. 8/44/4, Urk. 8/45). Der BeschwerdefÃ¼hrer machte zudem geltend, er habe auch seine RAV-Beraterin Ã¼ber die Aufnahme dieser TÃ¤tigkeit, sein Pensum und seinen Lohn informiert. Niemand habe ihn jedoch darauf hingewiesen, dass er sich allenfalls einen hÃ¶heren als den effektiven Lohn werde anrechnen lassen mÃ¼ssen (Urk. 1 S. 5, Urk. 14). Diese Darstellung hat die Beschwerdegegnerin nicht in Abrede gestellt, sondern vielmehr dargetan, sie sei ihrer AufklÃ¤rungspflicht am 10. September 2004, mithin mit dem Erlass der angefochtenen VerfÃ¼gung, nachgekommen (Urk. 13).</w:t>
      </w:r>
    </w:p>
    <w:p>
      <w:r>
        <w:t>Â Â Â Â Â Â Â Â  Aufgrund dieser VerfÃ¼gung hat der BeschwerdefÃ¼hrer seinen Arbeitsvertrag umgehend auf Ende September 2004 hin aufgelÃ¶st (Urk. 8/36). Dass er das ArbeitsverhÃ¤ltnis nicht fristlos, sondern erst auf Ende des Monats auflÃ¶ste, darf ihm nicht zum Nachteil gereichen, zumal ein Arbeitsvertrag nach Ablauf der Probezeit im ersten Dienstjahr erst mit einer KÃ¼ndigungsfrist von einem Monat auf das Ende eines Monats gekÃ¼ndigt werden kann (Art. 335c des Obligationenrechts).</w:t>
      </w:r>
    </w:p>
    <w:p>
      <w:r>
        <w:t>Â Â Â Â Â Â Â Â  In Anbetracht der bis zum VerfÃ¼gungserlass unterbliebenen Beratung hatte der BeschwerdefÃ¼hrer keinen Anlass, diesen Zwischenverdienst zur Wahrung seines Anspruchs aufzugeben.</w:t>
      </w:r>
    </w:p>
    <w:p>
      <w:r>
        <w:t>4.2Â Â Â Â  Die Organe der Arbeitslosenversicherung hÃ¤tten, zumal sie in Kenntnis des Sachverhalts waren, den BeschwerdefÃ¼hrer im Rahmen der ihr obliegenden AufklÃ¤rungspflicht bereits anlÃ¤sslich der Vorsprache beim RAV-Berater darÃ¼ber orientieren mÃ¼ssen, dass mit der Annahme der ZwischenverdiensttÃ¤tigkeit als Product-Manager ein Lohn von Fr. 13.60 nicht als orts- und branchenÃ¼blich gelten kÃ¶nne. Sie haben dies pflichtwidrig unterlassen - und darÃ¼ber hinaus zunÃ¤chst aufgrund des effektiven Zwischenverdienstes die Arbeitslosentaggelder entrichtet, so dass zunÃ¤chst eine RÃ¼ckforderung verfÃ¼gt wurde, von welcher spÃ¤ter jedoch Abstand genommen wurde (vgl. Urk. 3/1-2, Urk. 8/9) -, was rechtsprechungsgemÃ¤ss der Erteilung einer unrichtigen Auskunft gleichzustellen ist.</w:t>
      </w:r>
    </w:p>
    <w:p>
      <w:r>
        <w:t>Â Â Â Â Â Â Â Â  Dabei ergibt sich, dass die Voraussetzungen des Gutglaubenstatbestands erfÃ¼llt sind: Es hat eine bestimmte BehÃ¶rde in einer konkreten Situation mit Bezug auf eine bestimmte Person gehandelt; der BeschwerdefÃ¼hrer durfte das RAV und die Arbeitslosenkasse als zustÃ¤ndig erachten; ferner durfte er die unterlassene Auskunft dahin deuten, dass er unter Anrechnung des effektiven Zwischenverdienstes Anspruch auf ArbeitslosenentschÃ¤digung habe, weshalb er die fragliche ZwischenverdiensttÃ¤tigkeit weitergefÃ¼hrt hat. Sodann hat die gesetzliche Ordnung seit der Anmeldung zum Leistungsbezug nicht geÃ¤ndert.</w:t>
      </w:r>
    </w:p>
    <w:p>
      <w:r>
        <w:t>4.3Â Â Â Â  Angesichts der vorgÃ¤ngig unterlassenen PrÃ¼fung des vereinbartes SalÃ¤rs hat eine Aufrechnung des orts- und branchenÃ¼blichen Lohnes zu unterbleiben. In Abweichung von Art. 24 Abs. 3 AVIG ist vorliegend lediglich der effektiv erzielte Lohn als Zwischenverdienst anzurechnen.</w:t>
      </w:r>
    </w:p>
    <w:p>
      <w:r>
        <w:t>Â Â Â Â Â Â Â Â  Demnach ist in Gutheissung der Beschwerde der angefochtene Einspracheentscheid aufzuheben mit der Feststellung, dass der bei der B.___ GmbH in der Zeit von Mai bis September 2004 effektiv erzielte Verdienst als Zwischenverdienst anzurechnen ist.</w:t>
      </w:r>
    </w:p>
    <w:p>
      <w:r>
        <w:t>5.Â Â Â Â Â Â  Bei diesem Ausgang des Verfahrens hat der BeschwerdefÃ¼hrer Anspruch auf den vom Gericht festzusetzenden Ersatz der Parteikosten. Dieser wird ohne RÃ¼cksicht auf den Streitwert nach der Bedeutung der Streitsache, der Schwierigkeit des Prozesses, dem Zeitaufwand und den Barauslagen bemessen (Art. 61 lit. g ATSG in Verbindung mit Â§ 34 des Gesetzes Ã¼ber das Sozialversicherungsgericht). Unter BerÃ¼cksichtigung dieser Kriterien erscheint eine ProzessentschÃ¤digung von Fr. 1'600.-- (inklusive Barauslagen und Mehrwertsteuer) als angemessen.</w:t>
      </w:r>
    </w:p>
    <w:p>
      <w:r>
        <w:t>Das Gericht erkennt:</w:t>
      </w:r>
    </w:p>
    <w:p>
      <w:r>
        <w:t>1.Â Â Â Â Â Â Â Â  In Gutheissung der Beschwerde wird der Einspracheentscheid der Arbeitslosenkasse des Kantons ZÃ¼rich vom 26. November 2004 aufgehoben mit der Feststellung, dass fÃ¼r die Zeit von Mai bis September 2004 der bei der B.___ GmbH effektiv erzielte Verdienst als Zwischenverdienst anzurechnen ist.</w:t>
      </w:r>
    </w:p>
    <w:p>
      <w:r>
        <w:t>2.Â Â Â Â Â Â Â Â  Das Verfahren ist kostenlos.</w:t>
      </w:r>
    </w:p>
    <w:p>
      <w:r>
        <w:t>3.Â Â Â Â Â Â Â Â  Die Beschwerdegegnerin wird verpflichtet, dem BeschwerdefÃ¼hrer eine ProzessentschÃ¤digung von Fr. 1'600.-- (inkl. Barauslagen und MWSt) zu bezahlen.</w:t>
      </w:r>
    </w:p>
    <w:p>
      <w:r>
        <w:t>4.Â Â Â Â Â Â Â Â  Zustellung gegen Empfangsschein an:</w:t>
      </w:r>
    </w:p>
    <w:p>
      <w:r>
        <w:t>- RechtsanwÃ¤ltin Christine Fleisch unter Beilage einer Kopie von Urk. 13</w:t>
      </w:r>
    </w:p>
    <w:p>
      <w:r>
        <w:t>- Unia Arbeitslosenkasse unter Beilage einer Kopie von Urk. 14</w:t>
      </w:r>
    </w:p>
    <w:p>
      <w:r>
        <w:t>- AWA Amt fÃ¼r Wirtschaft und Arbeit</w:t>
      </w:r>
    </w:p>
    <w:p>
      <w:r>
        <w:t>- Staatssekretariat fÃ¼r Wirtschaft seco</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