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AL.2004.00465 vom 20. Mai 2005</w:t>
      </w:r>
    </w:p>
    <w:p>
      <w:r>
        <w:t>ZH Sozialversicherungsgericht, 2005-05-20, DE</w:t>
      </w:r>
    </w:p>
    <w:p>
      <w:r>
        <w:rPr>
          <w:b/>
        </w:rPr>
        <w:t xml:space="preserve">Quelle: </w:t>
      </w:r>
      <w:r>
        <w:t>https://mcp.opencaselaw.ch/entscheid/zh_sozialversicherungsgericht_AL.2004.00465</w:t>
      </w:r>
    </w:p>
    <w:p>
      <w:r>
        <w:t>FR: ZH_SOZIALVERSICHERUNGSGERICHT AL.2004.00465 du 20 mai 2005</w:t>
      </w:r>
    </w:p>
    <w:p>
      <w:r>
        <w:t>IT: ZH_SOZIALVERSICHERUNGSGERICHT AL.2004.00465 del 20 maggio 2005</w:t>
      </w:r>
    </w:p>
    <w:p>
      <w:pPr>
        <w:pStyle w:val="Heading2"/>
      </w:pPr>
      <w:r>
        <w:t>Erwägungen</w:t>
      </w:r>
    </w:p>
    <w:p>
      <w:r>
        <w:rPr>
          <w:b/>
        </w:rPr>
        <w:t>E. 2</w:t>
      </w:r>
    </w:p>
    <w:p>
      <w:r>
        <w:t>2.1Â Â Â Â  Zu Unrecht ausbezahlte KurzarbeitsentschÃ¤digung fordert die Kasse vom Arbeitgeber zurÃ¼ck (Art. 95 Abs. 2 des Bundesgesetzes Ã¼ber die obligatorische Arbeitslosenversicherung und die InsolvenzentschÃ¤digung, AVIG). Die Kasse unterbreitet das Erlassgesuch der kantonalen Amtsstelle zum Entscheid (Art. 95 Abs. 3 AVIG).</w:t>
      </w:r>
    </w:p>
    <w:p>
      <w:r>
        <w:t>2.2Â Â Â Â  Nach Art. 25 Abs. 1 des Bundesgesetzes Ã¼ber den Allgemeinen Teil des Sozialversicherungsrechts, ATSG, in Kraft seit 1. Januar 2003 und in Anbetracht des Entscheiddatums vom 25. August 2004 hier anwendbar, sind unrechtmÃ¤ssig bezogene Leistungen zurÃ¼ckzuerstatten. Wer Leistungen in gutem Glauben empfangen hat, muss sie nicht zurÃ¼ckerstatten, wenn eine grosse HÃ¤rte vorliegt.</w:t>
      </w:r>
    </w:p>
    <w:p>
      <w:r>
        <w:t>Â Â Â Â Â Â Â Â  Die ErlassmÃ¶glichkeit steht auch juristischen Personen offen (BGE 122 V 274 Erw. 4 in fine; ARV 2003 Nr. 29 S. 260 Erw. 1.1).</w:t>
      </w:r>
    </w:p>
    <w:p>
      <w:r>
        <w:t>2.3Â Â Â Â  Ein gutglÃ¤ubiger Bezug einer Sozialversicherungsleistung liegt vor, wenn das Bewusstsein Ã¼ber den unrechtmÃ¤ssigen Leistungsbezug fehlt, sofern dieses Fehlen in einer objektiven Betrachtungsweise unter den konkret gegebenen UmstÃ¤nden entschuldbar ist. Der gute Glaube, dessen Vorhandensein zu vermuten ist, besteht deshalb insbesondere dann, wenn sich die LeistungsempfÃ¤ngerin keiner groben NachlÃ¤ssigkeit schuldig gemacht hat (Kieser, ATSG-Kommentar, N 23 zu Art. 25).</w:t>
      </w:r>
    </w:p>
    <w:p>
      <w:r>
        <w:t>Â Â Â Â Â Â Â Â  RechtsprechungsgemÃ¤ss liegt guter Glaube nicht schon bei Unkenntnis des Rechtsmangels vor. Vielmehr darf sich die LeistungsempfÃ¤ngerin nicht nur keine bÃ¶swillige Absicht, sondern auch keine grobe NachlÃ¤ssigkeit zu Schulde kommen lassen. Daraus erhellt, dass der gute Glaube von vornherein entfÃ¤llt, wenn die zu Unrecht erfolgte Leistungsausrichtung auf eine arglistige oder grobfahrlÃ¤ssige Melde- und Auskunftspflichtverletzung zurÃ¼ckzufÃ¼hren ist. Anderseits kann sich der RÃ¼ckerstattungspflichtige auf den guten Glauben berufen, wenn sein fehlerhaftes Verhalten nur eine leichte FahrlÃ¤ssigkeit darstellt (BGE 112 V 103 Erw. 2c, 110 V 180 Erw. 3c; ARV 2003 Nr. 29 S. 260 Erw. 1.2 mit Hinweisen; Urteil des EidgenÃ¶ssischen Versicherungsgerichts vom 25. Mai 2004 in Sachen D., C 269/03).</w:t>
      </w:r>
    </w:p>
    <w:p>
      <w:r>
        <w:t>3.Â Â Â Â Â Â  Der Beschwerdegegner stellte sich auf den Standpunkt, der BeschwerdefÃ¼hrerin und deren Verwaltungsrat B.___ hÃ¤tte bei Ãbernahme der Gesellschaft im Jahr 1995 (vgl. Urk. 3) klar sein mÃ¼ssen, dass VerwaltungsrÃ¤te keinen Anspruch auf KurzarbeitsentschÃ¤digung haben. Selbst B.___ mit seiner Ausbildung als Mechaniker und somit nicht vertraut mit rechtlichen Belangen hÃ¤tte in Anbetracht seiner Verantwortung als Verwaltungsrat die einfach formulierten Anspruchsvoraussetzungen fÃ¼r KurzarbeitsentschÃ¤digung verstehen kÃ¶nnen. Schliesslich vermÃ¶ge die Rechtsunkenntnis den guten Glauben nicht zu begrÃ¼nden (Urk. 2).</w:t>
      </w:r>
    </w:p>
    <w:p>
      <w:r>
        <w:t>Â Â Â Â Â Â Â Â  Die BeschwerdefÃ¼hrerin machte dagegen einsprache- (vgl. Urk. 10/2/1) wie auch beschwerdeweise im Wesentlichen geltend, die Kasse hÃ¤tte damals das Gesuch auf KurzarbeitsentschÃ¤digung geprÃ¼ft und darauf Leistungen ausbezahlt. Auf diesen behÃ¶rdlichen Akt hÃ¤tte sich B.___ als Mechaniker verlassen dÃ¼rfen. Die BeschwerdefÃ¼hrerin stellte schliesslich eine Verletzung ihrer Sorgfaltspflichten in Abrede (Urk. 1).</w:t>
      </w:r>
    </w:p>
    <w:p>
      <w:r>
        <w:rPr>
          <w:b/>
        </w:rPr>
        <w:t>E. 4</w:t>
      </w:r>
    </w:p>
    <w:p>
      <w:r>
        <w:t>4.1Â Â Â Â  Weil bei der KurzarbeitsentschÃ¤digung Leistungen aufgrund summarischer AbklÃ¤rungen provisorisch gewÃ¤hrt werden und ein grÃ¼ndliches Beweisverfahren erst nachtrÃ¤glich anlÃ¤sslich einer Arbeitgeberkontrolle stattfindet (vgl. BGE 124 V 384 Erw. 2c), muss einem vorsÃ¤tzlichen oder grobfahrlÃ¤ssigen Verhalten im Rahmen des nach dem Leistungsbezug erfolgenden AbklÃ¤rungsverfahrens im Hinblick auf die Frage des Erlasses der RÃ¼ckerstattung die gleiche Bedeutung zukommen wie einem entsprechenden Verhalten vor dem Leistungsbezug.</w:t>
      </w:r>
    </w:p>
    <w:p>
      <w:r>
        <w:t>Â Â Â Â Â Â Â Â  Die gegenteilige wÃ¶rtliche Auslegung und Anwendung der Bestimmung wÃ¼rde zu Ergebnissen fÃ¼hren, die sich mit Sinn und Zweck der Norm und mit der Rechtsgleichheit nicht vereinbaren liessen. Denn es sind keine GrÃ¼nde und keine Rechtfertigung ersichtlich, weshalb der Erlass der RÃ¼ckerstattung von KurzarbeitsentschÃ¤digung unter weniger strengen Voraussetzungen gewÃ¤hrt werden sollte als jener der RÃ¼ckerstattung anderer Leistungen. Anders zu entscheiden hiesse, eine Person, die in einem nachtrÃ¤glichen AbklÃ¤rungsverfahren vorsÃ¤tzlich oder grobfahrlÃ¤ssig handelt, gegenÃ¼ber einer Person, die in einem vorgÃ¤ngigen AbklÃ¤rungsverfahren gleichermassen handelt, zu bevorzugen (Urteil des EidgenÃ¶ssischen Versicherungsgerichts vom 25. Mai 2004 in Sachen D., C 269/03 Erw. 3.1).</w:t>
      </w:r>
    </w:p>
    <w:p>
      <w:r>
        <w:t>Â Â Â Â Â Â Â Â  Dem Einwand der BeschwerdefÃ¼hrerin, die Kasse habe die Anspruchsvoraussetzungen vor der Auszahlung geprÃ¼ft, weshalb sie nicht fÃ¼r deren Fehler gerade zu stehen habe (Urk. 1 S. 2), kann angesichts der zunÃ¤chst bloss summarischen LeistungsprÃ¼fung grundsÃ¤tzlich nicht gefolgt werden, zumal die BeschwerdefÃ¼hrerin der Kasse unbestrittenermassen zu keiner Zeit mitgeteilt hatte, dass einer der gemeldeten Arbeitnehmer Mitglied ihres Verwaltungsrates sei.</w:t>
      </w:r>
    </w:p>
    <w:p>
      <w:r>
        <w:t>4.2Â Â Â Â  In der den Arbeitgebern abgegebenen InformationsbroschÃ¼re "KurzarbeitsentschÃ¤digung" des Bundesamtes fÃ¼r Wirtschaft und Arbeit (heute: seco) wird in der hier interessierenden Ausgabe 1992 unter der Frage "Wer hat keinen Anspruch auf KurzarbeitsentschÃ¤digung?" (Seite 6 Ziff. 6) unmissverstÃ¤ndlich festgehalten, dass Personen, die in ihrer Eigenschaft als Gesellschafter, als finanziell am Betrieb Beteiligte oder als Mitglied eines obersten betrieblichen Entscheidungsgremiums die Entscheidungen des Arbeitgebers bestimmen oder massgeblich beeinflussen kÃ¶nnen, nicht anspruchsberechtigt sind, wobei diese Information wÃ¶rtlich aus Art. 31 Abs. 3 lit. c AVIG entnommen ist. Der nÃ¤mliche Hinweis findet sich im Ãbrigen in den von der BeschwerdefÃ¼hrerin unterzeichneten und ab MÃ¤rz 1996 eingereichten AntrÃ¤gen auf KurzarbeitsentschÃ¤digung (Urk. 10/13/5, Urk. 10/14/5, Urk. 10/14/10, Urk. 10/15/5, Urk. 10/15/8, Urk. 10/15/12, Urk. 10/15/15, Urk. 10/15/19, Urk. 10/15/23, Urk. 10/16/5, Urk. 10/16/9, Urk. 10/16/12, Urk. 10/16/14).</w:t>
      </w:r>
    </w:p>
    <w:p>
      <w:r>
        <w:t>Â Â Â Â Â Â Â Â  Entweder haben die Verantwortlichen der BeschwerdefÃ¼hrerin weder die AntrÃ¤ge auf KurzarbeitsentschÃ¤digung noch die InformationsbroschÃ¼re konsultiert oder sie haben diese nicht mit der gebotenen Aufmerksamkeit gelesen. Anhand der darin befindlichen klaren Hinweise hÃ¤tten sie bei Anwendung eines Mindestmasses an Aufmerksamkeit erkennen kÃ¶nnen und mÃ¼ssen, dass fÃ¼r den seit 30. Oktober 1995 zunÃ¤chst als Mitglied und spÃ¤ter als PrÃ¤sident des Verwaltungsrates der heutigen C.___ AG im Handelsregister eingetragenen B.___ (vgl. Urk. 3) kein Anspruch auf KurzarbeitsentschÃ¤digung bestand.</w:t>
      </w:r>
    </w:p>
    <w:p>
      <w:r>
        <w:t>Â Â Â Â Â Â Â Â  Im Zweifelsfall hÃ¤tte es an der BeschwerdefÃ¼hrerin gelegen, sich bei der Kasse darÃ¼ber nÃ¤her zu informieren. UnterlÃ¤sst sie dies, trÃ¤gt sie die damit verbundenen Risiken. Aufgrund der Akten steht jedenfalls fest, dass die BeschwerdefÃ¼hrerin die Stellung von B.___ als Verwaltungsrat der Kasse nie gemeldet und damit eine Meldepflichtverletzung begangen hat.</w:t>
      </w:r>
    </w:p>
    <w:p>
      <w:r>
        <w:t>4.3Â Â Â Â  Unter den gegebenen UmstÃ¤nden ist diese allerdings als leicht zu qualifizieren, wie sich aus dem Folgenden ergibt. Das EidgenÃ¶ssische Versicherungsgericht hat in BGE 122 V 275 Erw. 5b/aa erwogen, dass sich die Arbeitslosenkasse im Hinblick auf die wÃ¤hrend lÃ¤ngerer Zeit erfolgte Auszahlung von KurzarbeitsentschÃ¤digung die Kenntnis einer den EntschÃ¤digungsanspruch ausschliessender Mitgliedschaft im Verwaltungsrat aufgrund des Handelsregistereintrages von Anfang anrechnen lassen muss. Die Verwaltung muss sich die PublizitÃ¤tswirkung des Handelsregisters und die Bekanntmachungen daraus im Schweizerischen Handelsamtsblatt entgegenhalten lassen, wie dies nach der Rechtsprechung beispielsweise auch in Bezug auf die zumutbare Kenntnis des Schadenseintritts durch die Ausgleichskasse im Sinne vom heutigen Art. 52 Abs. 3 des Bundesgesetzes Ã¼ber die Alters- und Hinterlassenenversicherung bei Einstellung eines Konkurses mangels Aktiven gilt (ZAK 1990 S. 289 Erw. 4b und S. 290 Erw. 4c/bb). Auch wenn das Handelsregister in erster Linie dem privatrechtlichen Rechtsverkehr dient, wird auch im Ã¶ffentlichen Recht verschiedentlich an den Handelsregistereintrag angeknÃ¼pft, beispielsweise hinsichtlich der Beitragspflicht der Teilhaber von Personengesellschaften (BGE 121 V 80) oder der Dauer der Beitragspflicht eines SelbstÃ¤ndigerwerbenden, dessen Einzelfirma in eine Aktiengesellschaft umgewandelt wird (BGE 102 V 103; ZAK 1986 S. 399 Erw. 3c).</w:t>
      </w:r>
    </w:p>
    <w:p>
      <w:r>
        <w:t>Â Â Â Â Â Â Â Â  Die Kasse kann sich somit nicht mit Aussicht auf Erfolg darauf berufen, es sei unzumutbar, jeweils das Handelsregister zu kontrollieren, um die Anspruchsvoraussetzungen abzuklÃ¤ren (Urteile des EidgenÃ¶ssischen Versicherungsgerichts vom 17. Juli 2002 in Sachen L., C 267/01, und vom 30. August 2001 in Sachen B., C 71/01).Â</w:t>
      </w:r>
    </w:p>
    <w:p>
      <w:r>
        <w:t>4.4Â Â Â Â  Zusammengefasst ist das Verhalten der BeschwerdefÃ¼hrerin, die sich Ã¼berdies auf ihre Rechtsunkenntnis beziehungsweise diejenige ihrer Organe beruft, unter den gegebenen UmstÃ¤nden als leichte NachlÃ¤ssigkeit einzustufen. Zu Recht durfte sie davon ausgehen, die Kasse konsultiere die Ã¶ffentlichen HandelsregistereintrÃ¤ge von Amtes wegen.</w:t>
      </w:r>
    </w:p>
    <w:p>
      <w:r>
        <w:t>Â Â Â Â Â Â Â Â  Der Auszahlung der KurzarbeitsentschÃ¤digung durch die Kasse ohne PrÃ¼fung der HandelsregistereintrÃ¤ge kommt dagegen viel grÃ¶sseres Gewicht zu, so dass vorliegend der gute Glaube der BeschwerdefÃ¼hrerin nicht verneint werden kann, zumal ihr eine bÃ¶swillige oder arglistige TÃ¤uschung weder vom Beschwerdegegner unterstellt wurde, noch hiefÃ¼r in den aufliegenden Akten Anhaltspunkte zu erblicken sind; zudem kÃ¶nnen der BeschwerdefÃ¼hrerin keine Falschangaben vorgeworfen werden. Es war denn auch allein aufgrund einer internen Kontrolle, dass die Kasse auf die fehlenden Anspruchsvoraussetzungen gestossen ist (vgl. Urk. 10/10/1).</w:t>
      </w:r>
    </w:p>
    <w:p>
      <w:r>
        <w:t>Â Â Â Â Â Â Â Â  Nach dem Gesagten ist die Beschwerde gutzuheissen mit der Feststellung, dass der gute Glauben der BeschwerdefÃ¼hrerin gegeben ist. Durch den Beschwerdegegner bleibt zu prÃ¼fen, wie es sich mit der von der BeschwerdefÃ¼hrerin geltend gemachten prekÃ¤ren Finanzlage, mithin der grossen HÃ¤rte, verhÃ¤lt.</w:t>
      </w:r>
    </w:p>
    <w:p>
      <w:r>
        <w:t>5.Â Â Â Â Â Â  Bei diesem Ausgang des Verfahrens steht der BeschwerdefÃ¼hrerin eine ProzessentschÃ¤digung zu (Art. 61 lit. g ATSG). Diese wird ohne RÃ¼cksicht auf den Streitwert nach der Bedeutung der Streitsache und nach dem Schwierigkeitsgrad des Prozesses bemessen und ist vorliegend auf Fr. 400.-- (inkl. Barauslagen und MWSt) festzusetzen.</w:t>
      </w:r>
    </w:p>
    <w:p>
      <w:r>
        <w:t>Das Gericht erkennt:</w:t>
      </w:r>
    </w:p>
    <w:p>
      <w:r>
        <w:t>1.Â Â Â Â Â Â Â Â  In Gutheissung der Beschwerde wird der Einspracheentscheid des Amtes fÃ¼r Wirtschaft und Arbeit vom 25. August 2004 aufgehoben mit der Feststellung, dass der gute Glaube der BeschwerdefÃ¼hrerin gegeben und damit dem Erlassgesuch stattzugeben ist, sofern die grosse HÃ¤rte gegeben ist.</w:t>
      </w:r>
    </w:p>
    <w:p>
      <w:r>
        <w:t>2.Â Â Â Â Â Â Â Â  Das Verfahren ist kostenlos.</w:t>
      </w:r>
    </w:p>
    <w:p>
      <w:r>
        <w:t>3.Â Â Â Â Â Â Â Â  Der Beschwerdegegner wird verpflichtet, der BeschwerdefÃ¼hrerin eine ProzessentschÃ¤digung von Fr. 400.-- (inkl. Mehrwertsteuer und Barauslagen) zu bezahlen.</w:t>
      </w:r>
    </w:p>
    <w:p>
      <w:r>
        <w:t>4.Â Â Â Â Â Â Â Â  Zustellung gegen Empfangsschein an:</w:t>
      </w:r>
    </w:p>
    <w:p>
      <w:r>
        <w:t>- Treuhand Steudler GmbH</w:t>
      </w:r>
    </w:p>
    <w:p>
      <w:r>
        <w:t>- Amt fÃ¼r Wirtschaft und Arbeit (AWA)</w:t>
      </w:r>
    </w:p>
    <w:p>
      <w:r>
        <w:t>- Staatssekretariat fÃ¼r Wirtschaft seco</w:t>
      </w:r>
    </w:p>
    <w:p>
      <w:r>
        <w:t>- Arbeitslosenkasse des Kantons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