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AL.2004.00448 vom 29. Dezember 2004</w:t>
      </w:r>
    </w:p>
    <w:p>
      <w:r>
        <w:t>ZH Sozialversicherungsgericht, 2004-12-29, DE</w:t>
      </w:r>
    </w:p>
    <w:p>
      <w:r>
        <w:rPr>
          <w:b/>
        </w:rPr>
        <w:t xml:space="preserve">Quelle: </w:t>
      </w:r>
      <w:r>
        <w:t>https://mcp.opencaselaw.ch/entscheid/zh_sozialversicherungsgericht_AL.2004.00448</w:t>
      </w:r>
    </w:p>
    <w:p>
      <w:r>
        <w:t>FR: ZH_SOZIALVERSICHERUNGSGERICHT AL.2004.00448 du 29 décembre 2004</w:t>
      </w:r>
    </w:p>
    <w:p>
      <w:r>
        <w:t>IT: ZH_SOZIALVERSICHERUNGSGERICHT AL.2004.00448 del 29 dicembre 2004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3.1Â Â Â Â  Streitig und zu prÃ¼fen ist, ob die ausgerichtete Kapitalleistung der Pensionskasse als Altersleistung an die ArbeitslosenentschÃ¤digung anzurechnen ist.</w:t>
      </w:r>
    </w:p>
    <w:p>
      <w:r>
        <w:t>3.2Â Â Â Â  GemÃ¤ss Art. 13 Abs. 1 des Bundesgesetzes Ã¼ber die berufliche Alters-, Hinterlassenen und Invalidenvorsorge (BVG) haben MÃ¤nner, die das 65. Altersjahr zurÃ¼ckgelegt haben, Anspruch auf Altersleistungen. Die reglementarischen Bestimmungen der Vorsorgeeinrichtungen kÃ¶nnen abweichend davon vorsehen, dass der Anspruch auf Altersleistungen mit der Beendigung der ErwerbstÃ¤tigkeit entsteht (Art. 13 Abs. 2 Satz 1 BVG). Nach Art. 28 Abs. 1 des Reglements der Pensionskasse A.___ in der ab 1. Januar 2002 gÃ¼ltigen Fassung gelten Austritte von Versicherten ab fÃ¼nf Jahren vor dem Schlussalter als vorzeitige Pensionierungen, sofern die Versicherten nicht bei der Vorsorgeeinrichtung eines neuen Arbeitgebers versichert sind (Urk. 3/6). Dabei besteht gemÃ¤ss dem Reglement keine WahlmÃ¶glichkeit zwischen einer FreizÃ¼gigkeitsleistung und der vorzeitigen Pensionierung, wie sich deutlich aus Art. 19 des Pensionskassenreglementes ergibt (Urk. 3/5 S. 11). Danach kann die Firma Versicherte zu ausserordentlichen Bedingungen vorzeitig pensionieren, ohne dass den Versicherten diesbezÃ¼glich ein Wahlrecht eingerÃ¤umt wÃ¤re. Im vorliegenden Fall ist der Versicherte bei der AuflÃ¶sung des ArbeitsverhÃ¤ltnisses per 30. September 2003 63 Jahre alt gewesen (Urk. 7/1). Er hat somit das fÃ¼r eine vorzeitige Pensionierung vorausgesetzte Mindestalter erreicht und ist anschliessend auch bei keiner anderen Vorsorgeeinrichtung versichert gewesen, weshalb gestÃ¼tzt auf Art. 19 in Verbindung mit 28 Abs. 1 des Pensionskassenreglements keine Austrittsleistung aussgerichtet worden, sondern eine vorzeitige Pensionierung erfolgt ist. Dabei hat sich der Versicherte gemÃ¤ss seinem Gesuch vom 3. Mai 2003 fÃ¼r eine einmalige Kapitalauszahlung entschieden (Urk. 7/6). Da somit ein Versicherungs- und kein FreizÃ¼gigkeitsfall eingetreten ist (Art. 2 Abs. 1 des Bundesgesetzes Ã¼ber die FreizÃ¼gigkeit in der beruflichen Alters-, Hinterlassenen- und Invalidenvorsorge), ist die Anrechnung der Leistungen aus der beruflichen Vorsorge an die ArbeitslosenentschÃ¤digung nach Art. 18c Abs. 1 AVIG und Art. 32 AVIV zu Recht erfolgt. Unbeachtlich ist dabei, dass die vorzeitige Pensionierung letztlich gegen den Willen des BeschwerdefÃ¼hrers erfolgt ist, und dieser die Kapitalleistung bisher nicht beansprucht hat.</w:t>
      </w:r>
    </w:p>
    <w:p>
      <w:r>
        <w:t>Â Â Â Â Â Â Â Â  Die betragsmÃ¤ssige Umrechnung der Kapitalleistung in eine lebenslÃ¤ngliche monatliche Rente ist seitens des BeschwerdefÃ¼hrers nicht beanstandet worden. Bei der Umwandlung der Kapitalabfindung in eine monatliche Rente hat sich die Arbeitslosenkasse auf die im Kreisschreiben des Staatsekretariates fÃ¼r Wirtschaft (seco) Ã¼ber die ArbeitslosenentschÃ¤digung vom 1. Januar 2000 abgedruckte und durch das Bundesamt fÃ¼r Sozialversicherungen berechnete Umwandlungstabelle abgestÃ¼tzt (Kreisschreiben Rz C 121), wobei sich keine Anhaltspunkte ergeben, die zu Zweifeln an der Richtigkeit dieser Berechung veranlassen.</w:t>
      </w:r>
    </w:p>
    <w:p>
      <w:r>
        <w:t>Â Â Â Â Â Â Â Â  Demnach ist die Beschwerde abzuweisen.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Rechtsanwalt Marco Mona</w:t>
      </w:r>
    </w:p>
    <w:p>
      <w:r>
        <w:t>- ALK SMUV Gewerkschaft Industrie, Gewerbe, Dienstleistungen</w:t>
      </w:r>
    </w:p>
    <w:p>
      <w:r>
        <w:t>- Staatssekretariat fÃ¼r Wirtschaft seco</w:t>
      </w:r>
    </w:p>
    <w:p>
      <w:r>
        <w:t>- AWA Amt fÃ¼r Wirtschaft und Arbeit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