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AL.2004.00056 vom 10. November 2004</w:t>
      </w:r>
    </w:p>
    <w:p>
      <w:r>
        <w:t>ZH Sozialversicherungsgericht, 2004-11-10, DE</w:t>
      </w:r>
    </w:p>
    <w:p>
      <w:r>
        <w:rPr>
          <w:b/>
        </w:rPr>
        <w:t xml:space="preserve">Quelle: </w:t>
      </w:r>
      <w:r>
        <w:t>https://mcp.opencaselaw.ch/entscheid/zh_sozialversicherungsgericht_AL.2004.00056</w:t>
      </w:r>
    </w:p>
    <w:p>
      <w:r>
        <w:t>FR: ZH_SOZIALVERSICHERUNGSGERICHT AL.2004.00056 du 10 novembre 2004</w:t>
      </w:r>
    </w:p>
    <w:p>
      <w:r>
        <w:t>IT: ZH_SOZIALVERSICHERUNGSGERICHT AL.2004.00056 del 10 novembre 2004</w:t>
      </w:r>
    </w:p>
    <w:p>
      <w:pPr>
        <w:pStyle w:val="Heading2"/>
      </w:pPr>
      <w:r>
        <w:t>Erwägungen</w:t>
      </w:r>
    </w:p>
    <w:p>
      <w:r>
        <w:rPr>
          <w:b/>
        </w:rPr>
        <w:t>E. 2</w:t>
      </w:r>
    </w:p>
    <w:p>
      <w:r>
        <w:t>Hiergegen erhob R.___ mit Eingabe vom 8. Februar 2004 Beschwerde und beantragte sinngemÃ¤ss, dass als Zwischenverdienst weiterhin die effektiv erzielten Provisionen anzunehmen seien, zumindest aber fÃ¼r den Monat Januar 2004 (Urk. 1). Nachdem die Arbeitslosenkasse in der Beschwerdeantwort vom 1. MÃ¤rz 2004 um Abweisung der Beschwerde ersucht hatte (Urk. 6), wurde der Schriftenwechsel am 2. MÃ¤rz 2004 geschlossen (Urk. 9).</w:t>
      </w:r>
    </w:p>
    <w:p>
      <w:r>
        <w:t>Â Â Â Â Â Â Â Â  Auf die Vorbringen der Parteien sowie die eingereichten Unterlagen wird, soweit erforderlich, in den ErwÃ¤gungen eingegangen.</w:t>
      </w:r>
    </w:p>
    <w:p>
      <w:r>
        <w:t>Das Gericht zieht in ErwÃ¤gung:</w:t>
      </w:r>
    </w:p>
    <w:p>
      <w:r>
        <w:t>1.Â Â Â Â Â Â</w:t>
      </w:r>
    </w:p>
    <w:p>
      <w:r>
        <w:t>1.1Â Â Â Â  Die versicherte Person muss zur Schadenminderung grundsÃ¤tzlich jede Arbeit unverzÃ¼glich annehmen (Art. 16 Abs. 1 des Bundesgesetzes Ã¼ber die Arbeitslosenversicherung und die InsolvenzentschÃ¤digung; AVIG). Unzumutbar und von der Annahmepflicht ausgenommen ist eine Arbeit, wenn sie weniger als 70 % des versicherten Verdienstes betrÃ¤gt, es sei denn, die versicherte Person erhalte Kompensationszahlungen infolge Zwischenverdienstes (Art. 16 Abs. 2 lit. i AVIG).</w:t>
      </w:r>
    </w:p>
    <w:p>
      <w:r>
        <w:t>1.2Â Â Â Â  Nach Art. 24 AVIG gilt als Zwischenverdienst jedes Einkommen aus unselbstÃ¤ndiger oder selbstÃ¤ndiger ErwerbstÃ¤tigkeit, das der Arbeitslose innerhalb einer Kontrollperiode erzielt. Der Versicherte hat Anspruch auf Ersatz des Verdienstausfalls (Abs. 1). Als Verdienstausfall gilt die Differenz zwischen dem in der Kontrollperiode erzielten Zwischenverdienst, mindestens aber dem berufs- und ortsÃ¼blichen Ansatz fÃ¼r die betreffende Arbeit, und dem versicherten Verdienst (Abs. 3 Satz 1). Mit dem Erfordernis der Berufs- und OrtsÃ¼blichkeit soll ein intakter Wettbewerb garantiert und unÃ¼blich tiefen Honoraren fÃ¼r Arbeitsleistungen im Sinne des Lohndumpings zulasten der Arbeitslosenversicherung entgegengetreten werden; daher betrifft die Berufs- und OrtsÃ¼blichkeit sowohl den Verdienst aus unselbstÃ¤ndiger TÃ¤tigkeit wie auch denjenigen, den der Arbeitslose aus selbstÃ¤ndiger ErwerbstÃ¤tigkeit erzielt (BGE 120 V 245 Erw. 2c, 52 Erw. 4a/bb).</w:t>
      </w:r>
    </w:p>
    <w:p>
      <w:r>
        <w:t>1.3Â Â Â Â  Erzielt der Versicherte in einer Kontrollperiode einen Zwischenverdienst, der nicht dem berufs- und ortsÃ¼blichen Ansatz entspricht, fÃ¼hrt dies nicht zum Dahinfallen des Anspruchs auf Differenzausgleich. Vielmehr wird der vom Versicherten erzielte effektive Lohn betragsmÃ¤ssig bis zu dem als berufs- und ortsÃ¼blich zu qualifizierenden Ansatz angehoben, und es erfolgt auf dieser Grundlage ein Differenzausgleich (BGE 120 V 253 Erw. 5e, 513 Erw. 8e; SVR 1994, ALV Nr. 22 S. 51). Auch der so ermittelte Differenzausgleich hÃ¤ngt freilich davon ab, dass die allgemeinen Voraussetzungen des Anspruchs auf ArbeitslosenentschÃ¤digung wÃ¤hrend der betreffenden Kontrollperiode (dazu Art. 8 AVIG), so etwa die VermittlungsfÃ¤higkeit des Versicherten nach Art. 15 AVIG, erfÃ¼llt sind (BGE 120 V 241 Erw. 2a).</w:t>
      </w:r>
    </w:p>
    <w:p>
      <w:r>
        <w:rPr>
          <w:b/>
        </w:rPr>
        <w:t>E. 2.1</w:t>
      </w:r>
    </w:p>
    <w:p>
      <w:r>
        <w:t>Aufgrund von Art. 24 Abs. 3 AVIG und der hierzu ergangenen Rechtsprechung ist dem BeschwerdefÃ¼hrer, der seit dem 27. Oktober 2003 vollzeitlich in einem ArbeitsverhÃ¤ltnis als Aussendienstmitarbeiter auf Provisionsbasis bei der A.___ steht (Urk. 7/3), dabei jedoch lediglich ein Bruttoeinkommen von Fr. 2'431.75 zwischen dem 27. Oktober und dem 18. November 2003 (Urk. 7/13), von Fr. 989.55 zwischen dem 19. November und dem 16. Dezember 2003 (Urk. 7/17) und ein solches von Fr. 2'551.90 zwischen dem 17. Dezember 2003 und dem 27. Januar 2004 (Urk. 7/21) erzielt hat, bei der Ermittlung eines allfÃ¤lligen Differenzausgleichs grundsÃ¤tzlich ein berufs- und ortsÃ¼blicher Lohn anzurechnen.</w:t>
      </w:r>
    </w:p>
    <w:p>
      <w:r>
        <w:t>2.2Â Â Â Â  Der BeschwerdefÃ¼hrer beruft sich jedoch auf den Vertrauensschutz: Er habe sich bei seinem RAV-Berater erkundigt, ob er bei Annahme der Stelle auf Provisionsbasis von der Arbeitslosenkasse eine Kompensationsleistung erhalte. Die AbklÃ¤rungen zwischen dem RAV-Berater und der Beschwerdegegnerin hÃ¤tten ergeben, dass die von ihm erzielten Provisionen vorerst als Zwischenverdienst abgerechnet wÃ¼rden. Erst spÃ¤ter habe sich herausgestellt, dass die Arbeit auf Provisionsbasis nicht zumutbar sei und er diese Arbeit nie hÃ¤tte annehmen dÃ¼rfen. Er sei somit unkorrekt und wahrheitswidrig informiert worden (Urk. 1).</w:t>
      </w:r>
    </w:p>
    <w:p>
      <w:r>
        <w:rPr>
          <w:b/>
        </w:rPr>
        <w:t>E. 3</w:t>
      </w:r>
    </w:p>
    <w:p>
      <w:r>
        <w:t>wenn die Person die Unrichtigkeit der Auskunft nicht ohne weiteres erkennen konnte;</w:t>
      </w:r>
    </w:p>
    <w:p>
      <w:r>
        <w:rPr>
          <w:b/>
        </w:rPr>
        <w:t>E. 4</w:t>
      </w:r>
    </w:p>
    <w:p>
      <w:r>
        <w:t>wenn sie im Vertrauen auf die Richtigkeit der Auskunft Dispositionen getroffen hat, die nicht ohne Nachteil rÃ¼ckgÃ¤ngig gemacht werden kÃ¶nnen;</w:t>
      </w:r>
    </w:p>
    <w:p>
      <w:r>
        <w:rPr>
          <w:b/>
        </w:rPr>
        <w:t>E. 4.2</w:t>
      </w:r>
    </w:p>
    <w:p>
      <w:r>
        <w:t>Zusammenfassend ist somit festzuhalten, dass die Beschwerdegegnerin zu Recht von einem Zwischenverdienst zu einem orts- und branchenÃ¼blichen Ansatz von Fr. 27.-- pro Stunde ab 1. Januar 2004 ausgeht. Die Beschwerde ist folglich abzuweisen.</w:t>
      </w:r>
    </w:p>
    <w:p>
      <w:r>
        <w:t>Das Gericht erkennt:</w:t>
      </w:r>
    </w:p>
    <w:p>
      <w:r>
        <w:t>1.Â Â Â Â Â Â Â Â  Die Beschwerde wird abgewiesen.</w:t>
      </w:r>
    </w:p>
    <w:p>
      <w:r>
        <w:t>2.Â Â Â Â Â Â Â Â  Das Verfahren ist kostenlos.</w:t>
      </w:r>
    </w:p>
    <w:p>
      <w:r>
        <w:t>3. Zustellung gegen Empfangsschein an:</w:t>
      </w:r>
    </w:p>
    <w:p>
      <w:r>
        <w:t>- R.___</w:t>
      </w:r>
    </w:p>
    <w:p>
      <w:r>
        <w:t>- Arbeitslosenkasse der GBI Sektion ZÃ¼rcher Oberland</w:t>
      </w:r>
    </w:p>
    <w:p>
      <w:r>
        <w:t>- Staatssekretariat fÃ¼r Wirtschaft seco</w:t>
      </w:r>
    </w:p>
    <w:p>
      <w:r>
        <w:t>- AWA Amt fÃ¼r Wirtschaft und Arbeit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rPr>
          <w:b/>
        </w:rPr>
        <w:t>E. 5</w:t>
      </w:r>
    </w:p>
    <w:p>
      <w:r>
        <w:t>wenn die gesetzliche Ordnung seit der Auskunftserteilung keine Ãnderung erfahren hat.</w:t>
      </w:r>
    </w:p>
    <w:p>
      <w:r>
        <w:t>3.2Â Â Â Â  Die Beschwerdegegnerin ist dem BeschwerdefÃ¼hrer auf dessen Einsprache vom 19. Dezember 2003 hin aufgrund eines MissverstÃ¤ndnisses zwischen dem BeschwerdefÃ¼hrer und dem RAV-Berater insoweit entgegen gekommen, als sie die Ausgleichszahlungen fÃ¼r die Kontrollperioden Oktober bis Dezember 2003 aufgrund der effektiv erzielten Provisionen berechnet und einen orts- und branchenÃ¼blichen Zwischenverdienst erst ab Januar 2004 annimmt. DarÃ¼ber, dass die Kasse nur Ausgleichszahlungen leisten kann, wenn das Einkommen aus Zwischenverdienst orts- und branchenÃ¼blich ist, und dass fÃ¼r die TÃ¤tigkeit des BeschwerdefÃ¼hrers als Aussendienstmitarbeiter ein orts- und branchenÃ¼blicher Ansatz von Fr. 27.-- pro Stunde angenommen werden mÃ¼sse, informierte sie ihn bereits mit Schreiben vom 4. Dezember 2003 (Urk. 3/2). Zu diesem Zeitpunkt aber hÃ¤tte der BeschwerdefÃ¼hrer die TÃ¤tigkeit bei der A.___, bei der er wÃ¤hrend der dreimonatigen Probezeit eine KÃ¼ndigungsfrist von sieben Tagen hatte, per Ende Dezember 2003 aufgeben kÃ¶nnen. Der BeschwerdefÃ¼hrer fÃ¼hrte jedoch die TÃ¤tigkeit bei der A.___ fort, obwohl er wusste, dass ihm dafÃ¼r als ZwischenverdienstÂ  Fr. 27.-- pro Stunde angerechnet werden. Die Berufung auf den Vertrauensschutz ist daher ab Januar 2004 unbehelflich.</w:t>
      </w:r>
    </w:p>
    <w:p>
      <w:r>
        <w:t>4.</w:t>
      </w:r>
    </w:p>
    <w:p>
      <w:r>
        <w:t>4.1Â Â Â Â  Was die HÃ¶he des Zwischenverdienstes betrifft, ist nicht zu beanstanden und wird vom BeschwerdefÃ¼hrer auch nicht gerÃ¼gt, dass die Beschwerdegegnerin unter BerÃ¼cksichtigung, dass der BeschwerdefÃ¼hrer als gelernter Schriftsetzer und Kundenberater mit grosser Erfahrung (vgl. Urk. 7/1) und unter BerÃ¼cksichtigung, dass MÃ¤nner im Durchschnitt fÃ¼r "Verkauf von KonsumgÃ¼tern, Detailhandel" bei vorausgesetzten Berufs- und Fachkenntnissen (Anforderungsniveau 3) ein Einkommen von monatlich Fr. 4'925.-- erzielen kÃ¶nnen (Die Schweizerische Lohnstrukturerhebung 2000 des Bundesamtes fÃ¼r Statistik, TA 7, Urk. 7/7), von einem berufs- und ortsÃ¼blichen Ansatz von Fr. 27.-- pro Stunde ausgeht.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