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AL.2003.00243 vom 26. Mai 2004</w:t>
      </w:r>
    </w:p>
    <w:p>
      <w:r>
        <w:t>ZH Sozialversicherungsgericht, 2004-05-26, DE</w:t>
      </w:r>
    </w:p>
    <w:p>
      <w:r>
        <w:rPr>
          <w:b/>
        </w:rPr>
        <w:t xml:space="preserve">Quelle: </w:t>
      </w:r>
      <w:r>
        <w:t>https://mcp.opencaselaw.ch/entscheid/zh_sozialversicherungsgericht_AL.2003.00243</w:t>
      </w:r>
    </w:p>
    <w:p>
      <w:r>
        <w:t>FR: ZH_SOZIALVERSICHERUNGSGERICHT AL.2003.00243 du 26 mai 2004</w:t>
      </w:r>
    </w:p>
    <w:p>
      <w:r>
        <w:t>IT: ZH_SOZIALVERSICHERUNGSGERICHT AL.2003.00243 del 26 maggio 2004</w:t>
      </w:r>
    </w:p>
    <w:p>
      <w:pPr>
        <w:pStyle w:val="Heading2"/>
      </w:pPr>
      <w:r>
        <w:t>Erwägungen</w:t>
      </w:r>
    </w:p>
    <w:p>
      <w:r>
        <w:rPr>
          <w:b/>
        </w:rPr>
        <w:t>E. 2</w:t>
      </w:r>
    </w:p>
    <w:p>
      <w:r>
        <w:t>Dem BeschwerdefÃ¼hrer sei die unentgeltliche Rechtsvertretung zu gewÃ¤hren.</w:t>
      </w:r>
    </w:p>
    <w:p>
      <w:r>
        <w:rPr>
          <w:b/>
        </w:rPr>
        <w:t>E. 3</w:t>
      </w:r>
    </w:p>
    <w:p>
      <w:r>
        <w:t>3.1Â Â Â Â  Aus dem sich bei den Akten befindlichen Handelsregisterauszug der C.___ AG geht hervor, dass der BeschwerdefÃ¼hrer bis zur LÃ¶schung des Eintrags am 28. Juli 2003 als Verwaltungsratsmitglied mit Kollektivunterschriftsberechtigung zu zweien neben E.___ (Verwaltungsratsmitglied mit Kollektivunterschriftsberechtigung zu zweien), F.___ (Revisionsstelle) und G.___ (VerwaltungsratsprÃ¤sident und Delegierter des Verwaltungsrates mit Einzelunterschriftsberechtigung) eingetragen war. Ab 28. Juli 2003 war anstelle des BeschwerdefÃ¼hrers H.___ als Verwaltungsratsmitglied der C.___ AG mit Kollektivunterschriftsberechtigung zu zweien eingetragen (Urk. 3/10).Â</w:t>
      </w:r>
    </w:p>
    <w:p>
      <w:r>
        <w:t>3.2Â Â Â Â  Bei der D.___ GmbH war der BeschwerdefÃ¼hrer seit 20. Juli 2000 ununterbrochen als Gesellschafter mit Kollektivunterschriftsberechtigung zu zweien neben E.___ (Kollektivunterschriftsberechtigung zu zweien) und G.___ (GeschÃ¤ftsfÃ¼hrender Gesellschafter mit Einzelunterschriftsberechtigung) eingetragen.</w:t>
      </w:r>
    </w:p>
    <w:p>
      <w:r>
        <w:t>3.3Â Â Â Â  GemÃ¤ss dem Handelsregisterauszug verfolgt die C.___ AG folgenden Gesellschaftszweck (Urk. 3/9):</w:t>
      </w:r>
    </w:p>
    <w:p>
      <w:r>
        <w:t>Â Herstellung und Vertrieb von elektrischen und elektronischen Bauelementen und Anlagen, GerÃ¤ten, Instrumenten und Maschinen, Vertrieb von Produkten sowie Beratung und Projektierung im Bereich der Daten- und Telekommunikation; kann sich an anderen Unternehmungen beteiligen sowie Liegenschaften erwerben, belasten und verÃ¤ussern.Â</w:t>
      </w:r>
    </w:p>
    <w:p>
      <w:r>
        <w:t>Â Â Â Â Â Â Â Â  Die D.___ GmbH verfolgt laut dem Handelsregisterauszug den folgenden Zweck (Urk. 3/8):</w:t>
      </w:r>
    </w:p>
    <w:p>
      <w:r>
        <w:t>Â Vertrieb von Daten- und Telekommunikations-Systemen, Schwerpunkt drahtlose Ãbertragungssysteme und Produkte fÃ¼r allgemeine NachrichtenÃ¼bertragung, Beratung, Projektierung, Planung, Installation, Wartung sowie Aus- und Weiterbildung im Bereich LAN/WAN-Infrastruktur, Internetworking und Integration in heterogenen Netzwerkarchitekturen und Handel mit EDV-Anlagen und ZubehÃ¶r, Erteilung von Lizenz- und Vertriebsrechten; kann sich an anderen Unternehmen beteiligen, Liegenschaften und Wertschriften erwerben, verwalten und verkaufen sowie ImmaterialgÃ¼terrechte erwerben, verwalten und verwerten.Â</w:t>
      </w:r>
    </w:p>
    <w:p>
      <w:r>
        <w:t>Â Â Â Â Â Â Â Â  Daraus ist ersichtlich, dass die beiden Firmen vornehmlich in einem Ã¤hnlichen GeschÃ¤ftsbereich der Daten- und Telekommunikationswirtschaft tÃ¤tig sind. Beide Gesellschaften werden sodann von Mitgliedern der gleichen Familie gefÃ¼hrt und ausschliesslich beherrscht. Der BeschwerdefÃ¼hrer gehÃ¶rt zu diesem Personenkreis. Auch befindet sich das Domizil der beiden Gesellschaften an der gleichen Adresse (Urk. 3/8, Urk. 3/10).Â</w:t>
      </w:r>
    </w:p>
    <w:p>
      <w:r>
        <w:t>3.4Â Â Â Â  Angesichts der engen personellen, rÃ¤umlichen und organisatorischen Verflechtung der beiden Gesellschaften und der fast identisch zusammengesetzten Entscheidungsgremien erscheinen diese als ein einziges, kompaktes Ganzes. Bei der C.___ AG und der D.___ GmbH handelt es sich daher im arbeitslosenversicherungsrechtlichen Sinne um ein Konglomerat.</w:t>
      </w:r>
    </w:p>
    <w:p>
      <w:r>
        <w:t>3.5Â Â Â Â  Der BeschwerdefÃ¼hrer, welcher auch nach Beendigung des ArbeitsverhÃ¤ltnisses mit der C.___ AG und nach seiner Demission als Verwaltungsrat der C.___ AG weiterhin seine Stellung als Gesellschafter mit Kollektivzeichnungsberechtigung zu zweien bei der D.___ GmbH beibehielt, hat seine EinflussmÃ¶glichkeiten innerhalb des zwischen der C.___ AG und der D.___ GmbH bestehenden Konglomerats nicht verloren. Insbesondere konnte sich der BeschwerdefÃ¼hrer bei verbessertem GeschÃ¤ftsgang bei Bedarf beliebig von beiden Gesellschaften des Konglomerats, welche von ihrer GeschÃ¤ftstÃ¤tigkeit her vergleichbar sind, neu anstellen lassen und hÃ¤tte sich auch erneut als Verwaltungsrat der C.___ AG wÃ¤hlen lassen kÃ¶nnen. Daran Ã¤ndert die Demission des BeschwerdefÃ¼hrers als Verwaltungsrat der C.___ AG nichts. Anders verhielte es sich erst dann, wenn er sich vollstÃ¤ndig aus der D.___ AG zurÃ¼ckgezogen gehabt hÃ¤tte (Aufgabe des finanziellen Engagements und LÃ¶schung der Zeichnungsberechtigung im Handelsregister).</w:t>
      </w:r>
    </w:p>
    <w:p>
      <w:r>
        <w:t>3.6Â Â Â Â  Da weitere Beweismassnahmen am feststehenden Beweisergebnis einer arbeitgeberÃ¤hnlichen Stellung im Konglomerat nichts mehr Ã¤nderten, ist, entgegen den diesbezÃ¼glichen Vorbringen des BeschwerdefÃ¼hrers (Urk. 13 S. 3), darauf zu verzichten, und insbesondere auf einen Beizug von GeschÃ¤ftsbÃ¼chern und weiterer Unterlagen der C.___ AG und der D.___ GmbH (antizipierte BeweiswÃ¼rdigung; BGE 124 V 94 Erw. 4b, 122 V 162 Erw. 1d mit Hinweis).</w:t>
      </w:r>
    </w:p>
    <w:p>
      <w:r>
        <w:t>4.Â Â Â Â Â Â  Nach Gesagtem hat der BeschwerdefÃ¼hrer seine arbeitgeberÃ¤hnliche Stellung im Konglomerat aus der C.___ AG und der D.___ GmbH auch nach Verlust seiner Arbeitsstelle bei der C.___ AG beibehalten. Unter diesen UmstÃ¤nden hÃ¤tte er nach Verlust der von ihm vom 2. September 2002 bis 31. MÃ¤rz 2003 (Urk. 9/15/1-3) ausgeÃ¼bten TÃ¤tigkeit als Marketing-Manager bei der C.___ AG nach Art. 31 Abs. 3 lit. c AVIG keinen Anspruch auf KurzarbeitsentschÃ¤digung erheben kÃ¶nnen. DiesbezÃ¼glich stellt das Leistungsgesuch des BeschwerdefÃ¼hrers vielmehr eine rechtsmissbrÃ¤uchliche Umgehung dieser Vorschrift im Sinne der Rechtsprechung (BGE 123 V 238 Erw. 7) dar.</w:t>
      </w:r>
    </w:p>
    <w:p>
      <w:r>
        <w:rPr>
          <w:b/>
        </w:rPr>
        <w:t>E. 5</w:t>
      </w:r>
    </w:p>
    <w:p>
      <w:r>
        <w:t>5.1Â Â Â Â  Es bleibt zu prÃ¼fen, ob sich aus der Tatsache, dass der BeschwerdefÃ¼hrer vom 30. November 2000 bis 30. Juni 2002 als Werkstudent bei der B.___ AG, ZÃ¼rich (Urk. 9/16 Ziff. 2, Urk. 14/4) eine beitragspflichtige TÃ¤tigkeit ausgeÃ¼bt hat, ein Leistungsanspruch ableiten lÃ¤sst.</w:t>
      </w:r>
    </w:p>
    <w:p>
      <w:r>
        <w:t>5.2Â Â Â Â  Innerhalb der massgebenden Rahmenfrist fÃ¼r die Beitragszeit vom 20. MÃ¤rz 2001 bis 19. MÃ¤rz 2003 (Art. 8 Abs. 1 lit. e in Verbindung mit Art. 13 Abs. 1 AVIG; vgl. Urk. 9/17/2) hat der BeschwerdefÃ¼hrer vom 20. MÃ¤rz 2001 bis 30. Juni 2002 wÃ¤hrend insgesamt mehr als 15 Monaten - und somit wÃ¤hrend einem die Mindestbeitragszeit gemÃ¤ss Art. 13 Abs. 1 AVIG Ã¼bersteigenden Zeitraum - eine beitragspflichtige ArbeitnehmertÃ¤tigkeit bei der B.___ AG ausgeÃ¼bt. Es fragt sich, ob der BeschwerdefÃ¼hrer daraus einen Leistungsanspruch ableiten kann. Nach der obenerwÃ¤hnten Rechtsprechung (Erw. 1.7) liegt die zeitliche Grenze, ab welcher der Bezug von ArbeitslosenentschÃ¤digung auf Grund einer Entlassung in einem vom Erstbetrieb unabhÃ¤ngigen Drittbetrieb trotz beibehaltener arbeitgeberÃ¤hnlicher Stellung im Erstbetrieb nicht mehr als rechtsmissbrÃ¤uchlich erscheint, bei sechs Monaten.</w:t>
      </w:r>
    </w:p>
    <w:p>
      <w:r>
        <w:t>5.3Â Â Â Â  Die vorliegende Situation ist jedoch von jener, wie sie der obenerwÃ¤hnten Rechtsprechung zu Grunde lag, gÃ¤nzlich verschieden. Zwar hat der BeschwerdefÃ¼hrer wÃ¤hrend der Rahmenfrist fÃ¼r die Beitragszeit vom 20. MÃ¤rz 2001 bis 30. Juni 2002 bei der B.___ AG eine ArbeitnehmertÃ¤tigkeit ausgeÃ¼bt. Hingegen war der BeschwerdefÃ¼hrer erst nach Aufgabe der TÃ¤tigkeit bei der B.___ AG wÃ¤hrend der Zeit vom 2. September 2002 bis 31. MÃ¤rz 2003 bei der C.___ AG tÃ¤tig (Urk. 9/15/1-3). Gleichzeitig war er bei dieser als Mitglied des Verwaltungsrates bis zur Demission am 31. MÃ¤rz 2003 in einer arbeitgeberÃ¤hnlichen Stellung (Urk. 9/9, Urk. 3/9-10). Zudem kam dem BeschwerdefÃ¼hrer wegen seiner Stellung als Gesellschafter der D.___ GmbH (Urk. 9/8, Urk. 3/8) auch nach dem 31. MÃ¤rz 2003 in dem aus der D.___ GmbH und der C.___ AG bestehenden Firmenkonglomerat weiterhin eine arbeitgeberÃ¤hnliche Stellung zu (vgl. Erw. 4).</w:t>
      </w:r>
    </w:p>
    <w:p>
      <w:r>
        <w:t>5.4Â Â Â Â  GemÃ¤ss der obenerwÃ¤hnten Rechtsprechung ist Versicherten (und ihren Ehegatten) in andauernder arbeitgeberÃ¤hnlicher Stellung in einem Erstbetrieb erst nach dem Verlust einer wÃ¤hrend mindestens sechs Monaten dauernden ArbeitnehmertÃ¤tigkeit in einem Drittbetrieb die Berechtigung zum Bezug von ArbeitslosenentschÃ¤digung zuzuerkennen. In vorliegendem Fall bedeutet dies, dass der BeschwerdefÃ¼hrer nach Verlust seiner TÃ¤tigkeit als Marketing Manager bei der C.___ AG am 31. MÃ¤rz 2003 bei andauernder arbeitgeberÃ¤hnlicher Stellung wÃ¤hrend mindestens sechs Monaten in einem Drittbetrieb eine ArbeitnehmertÃ¤tigkeit hÃ¤tte ausÃ¼ben mÃ¼ssen, um anspruchsberechtigt zu sein. Die vom BeschwerdefÃ¼hrer bei der B.___ AG ausgeÃ¼bte ArbeitnehmertÃ¤tigkeit, welche er vor Aufnahme der TÃ¤tigkeit als Marketing-Manager bei der C.___ AG ausÃ¼bte und bereits am 30. Juni 2002 aufgab, erfÃ¼llt diese Voraussetzungen nicht. Denn die TÃ¤tigkeit bei der B.___ AG wurde vom BeschwerdefÃ¼hrer nicht nach Verlust der TÃ¤tigkeit bei der C.___ AG am 31. MÃ¤rz 2003, sondern vor Aufnahme dieser TÃ¤tigkeit ausgeÃ¼bt. Aus diesem Grunde ist die vom BeschwerdefÃ¼hrer vor Aufnahme der ErwerbstÃ¤tigkeit bei der C.___ AG bei einem Drittbetrieb, der B.___ AG, ausgeÃ¼bte ArbeitnehmertÃ¤tigkeit nicht geeignet, die fortdauernde arbeitgeberÃ¤hnliche Stellung des BeschwerdefÃ¼hrers in dem aus der C.___ AG und der D.___ GmbH zusammengesetzten Firmenkonglomerat ausnahmsweise als nicht mehr anspruchsausschliessend erscheinen zu lassen. Vielmehr hat es dabei zu bleiben, dass der BeschwerdefÃ¼hrer auf Grund seiner arbeitgeberÃ¤hnlichen Stellung in dem aus der C.___ AG und der D.___ GmbH zusammengesetzten Firmenkonglomerat keinen Anspruch auf ArbeitslosenentschÃ¤digung hat.</w:t>
      </w:r>
    </w:p>
    <w:p>
      <w:r>
        <w:t>6.Â Â Â Â Â Â  Nach Gesagtem ist ein Anspruch des BeschwerdefÃ¼hrers auf ArbeitslosenentschÃ¤digung ab 1. April 2003 zu verneinen. Insofern ist die gegen den angefochtenen Einspracheentscheid 15. Juli 2003 erhobene Beschwerde daher abzuweisen.</w:t>
      </w:r>
    </w:p>
    <w:p>
      <w:r>
        <w:rPr>
          <w:b/>
        </w:rPr>
        <w:t>E. 7</w:t>
      </w:r>
    </w:p>
    <w:p>
      <w:r>
        <w:t>7.1Â Â Â Â  Bereits zum Zeitpunkt bei Ausrichtung der ArbeitslosenentschÃ¤digung fÃ¼r die Kontrollperioden April und Mai 2003 stand fest, dass der BeschwerdefÃ¼hrer in dem aus der C.___ AG und der D.___ GmbH zusammengesetzten Firmenkonglomerat nach dem 1. April 2003 weiterhin eine umfassende arbeitgeberÃ¤hnliche Stellung einnahm. Diese Tatsache war der Beschwerdegegnerin sodann unverschuldeterweise unbekannt. Demnach handelt es sich dabei um eine in revisionsrechtlichem Sinne erhebliche neue Tatsache. Die Beschwerdegegnerin war daher verpflichtet, auf ihre formlose Leistungsausrichtung im Umfang eines Betrages von Fr. 6'904.-- (vgl. Urk. 9/7/2) zurÃ¼ck zu kommen.</w:t>
      </w:r>
    </w:p>
    <w:p>
      <w:r>
        <w:t>7.2Â Â Â Â  Zu prÃ¼fen bleibt, ob der RÃ¼ckforderungsanspruch der Beschwerdegegnerin bereits verwirkt ist. Der RÃ¼ckforderungsanspruch verjÃ¤hrt laut Art. 25 Abs. 2 ATSG innert einem Jahr, nachdem die auszahlende Stelle davon Kenntnis erhalten hat, spÃ¤testens aber fÃ¼nf Jahre nach der Auszahlung der Leistung. Bei diesen Fristen handelt es sich um Verwirkungsfristen (BGE 124 V 382 Erw. 1 mit Hinweisen). Die einjÃ¤hrige relative Verwirkungsfrist des Art. 25 Abs. 2 ATSG beginnt in jenem Zeitpunkt zu laufen, in welchem die Verwaltung bei Beachtung der ihr zumutbaren Aufmerksamkeit Kenntnis vom rÃ¼ckforderungsbegrÃ¼ndenden Sachverhalt haben konnte (BGE 122 V 274 f. Erw. 5a mit Hinweisen). Mit Erlass der RÃ¼ckerstattungsverfÃ¼gung vom 12. Juni 2003 (Urk. 9/7/1) hat die Beschwerdegegnerin sowohl die absolute Verwirkungsfrist von fÃ¼nf Jahren als auch die einjÃ¤hrige relative Verwirkungsfrist gewahrt.</w:t>
      </w:r>
    </w:p>
    <w:p>
      <w:r>
        <w:t>7.3Â Â Â Â  Die Beschwerdegegnerin war deshalb berechtigt, vom BeschwerdefÃ¼hrer einen Betrag von Fr. 6'904.-- zurÃ¼ckzufordern. Die gegen den angefochtenen Einspracheentscheid vom 15. Juli 2003 erhobene Beschwerde ist daher auch in diesem Punkte abzuweisen.</w:t>
      </w:r>
    </w:p>
    <w:p>
      <w:r>
        <w:t>8.Â Â Â Â Â Â  Der unentgeltliche Rechtsvertreter des BeschwerdefÃ¼hrers, Rechtsanwalt JÃ¼rg Maron, ZÃ¼rich, wird nach Einsicht in die Honorarnote vom 6. Mai 2004 (Urk. 20), ausgehend von einem Stundenansatz von Fr. 200.-- (zuzÃ¼glich Mehrwertsteuer und Barauslagen) und unter BerÃ¼cksichtigung der Bedeutung der Streitsache und der Schwierigkeit des Prozesses mit Fr. 3'074.90 (inklusive Barauslagen und Mehrwertsteuer) aus der Gerichtskasse entschÃ¤digt.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Maron, ZÃ¼rich, wird mit Fr. 3'074.90 (inklusive Barauslagen und Mehrwertsteuer) aus der Gerichtskasse entschÃ¤digt.</w:t>
      </w:r>
    </w:p>
    <w:p>
      <w:r>
        <w:t>4.Â Â Â Â Â Â Â Â  Zustellung gegen Empfangsschein an:</w:t>
      </w:r>
    </w:p>
    <w:p>
      <w:r>
        <w:t>- Rechtsanwalt JÃ¼rg Maron</w:t>
      </w:r>
    </w:p>
    <w:p>
      <w:r>
        <w:t>- Arbeitslosenkasse des Kantons ZÃ¼rich</w:t>
      </w:r>
    </w:p>
    <w:p>
      <w:r>
        <w:t>- Staatssekretariat fÃ¼r Wirtschaft seco</w:t>
      </w:r>
    </w:p>
    <w:p>
      <w:r>
        <w:t>- AWA Amt fÃ¼r Wirtschaft und Arbeit</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