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AL.2002.01119 vom 25. Juni 2003</w:t>
      </w:r>
    </w:p>
    <w:p>
      <w:r>
        <w:t>ZH Sozialversicherungsgericht, 2003-06-25, DE</w:t>
      </w:r>
    </w:p>
    <w:p>
      <w:r>
        <w:rPr>
          <w:b/>
        </w:rPr>
        <w:t xml:space="preserve">Quelle: </w:t>
      </w:r>
      <w:r>
        <w:t>https://mcp.opencaselaw.ch/entscheid/zh_sozialversicherungsgericht_AL.2002.01119</w:t>
      </w:r>
    </w:p>
    <w:p>
      <w:r>
        <w:t>FR: ZH_SOZIALVERSICHERUNGSGERICHT AL.2002.01119 du 25 juin 2003</w:t>
      </w:r>
    </w:p>
    <w:p>
      <w:r>
        <w:t>IT: ZH_SOZIALVERSICHERUNGSGERICHT AL.2002.01119 del 25 giugno 2003</w:t>
      </w:r>
    </w:p>
    <w:p>
      <w:pPr>
        <w:pStyle w:val="Heading2"/>
      </w:pPr>
      <w:r>
        <w:t>Erwägungen</w:t>
      </w:r>
    </w:p>
    <w:p>
      <w:r>
        <w:rPr>
          <w:b/>
        </w:rPr>
        <w:t>E. 1</w:t>
      </w:r>
    </w:p>
    <w:p>
      <w:r>
        <w:t>1.1???? 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1.2???? Gem?ss Art. 1 Abs. 2 des Bundesgesetzes ?ber die obligatorische Arbeitslosenversicherung und die Insolvenzentsch?digung (AVIG) geh?rt zu den Zielen des Gesetzes, drohende Arbeitslosigkeit zu verh?ten und bestehende zu bek?mpfen. Diesem Zwecke dienen die arbeitsmarktlichen Massnahmen (Art. 59 bis 75 AVIG; BGE 112 V 398). Als solche gelten grunds?tzlich Vorkehren, die es der versicherten Person erlauben, sich dem industriellen und technischen Fortschritt anzupassen, oder sie in die Lage versetzen, ihre bereits vorhandenen beruflichen F?higkeiten ausserhalb der angestammten engen bisherigen Erwerbst?tigkeit auf dem Arbeitsmarkt zu verwerten (BGE 111 V 274, 400).</w:t>
      </w:r>
    </w:p>
    <w:p>
      <w:r>
        <w:t>1.3???? Ein Berufspraktikum nach Art. 72 Abs. 2 AVIG ist eine arbeitsmarktliche Massnahme in Form einer vor?bergehenden Besch?ftigung in einem Unternehmen oder in der ?ffentlichen Verwaltung. Ziel ist die F?rderung der Wiedereingliederung der versicherten Person in den Arbeitsprozess durch Erwerb von Berufserfahrungen und beruflichen Kontakten in ihrem angestammten oder in einem nahe verwandten Berufsfeld sowie durch Vertiefung ihrer beruflichen Kenntnisse (Kreisschreiben des seco ?ber die arbeitsmarktlichen Massnahmen, g?ltig ab 1. Januar 2000, Rz I02 f.).</w:t>
      </w:r>
    </w:p>
    <w:p>
      <w:r>
        <w:t>1.4???? Allgemeine Voraussetzungen f?r den Anspruch der versicherten Person auf eine arbeitsmarktliche Massnahme sind neben der Erf?llung der Anspruchsvoraussetzungen gem?ss Art. 8 AVIG die arbeitsmarktliche Indikation sowie die Notwendigkeit und Angemessenheit der Massnahme.</w:t>
      </w:r>
    </w:p>
    <w:p>
      <w:r>
        <w:t>Demzufolge sind Leistungen nur dann zuzusprechen, wenn die Arbeitsmarktlage dies unmittelbar gebietet. Dabei muss ein enger Zusammenhang bestehen zwischen der Notwendigkeit einer arbeitsmarktlichen Massnahme und den Schwierigkeiten der versicherten Person, eine zumutbare Arbeit im Sinne von Art. 16 AVIG zu finden (BGE 111 V 401 f.). Was die objektive Zielrichtung anbelangt, muss die in Frage stehende Massnahme spezifisch daf?r bestimmt, geeignet und notwendig sein, die Vermittelbarkeit zu f?rdern (BGE 111 V 276). Dabei gen?gt nicht, dass die anbegehrte Vorkehr f?r das weitere berufliche Fortkommen allgemein vorteilhaft ist. Ein bloss theoretisch m?glicher, aber im konkreten Fall unwahrscheinlicher Vorteil hinsichtlich der Vermittlungsf?higkeit gen?gt nicht. Vielmehr muss die Wahrscheinlichkeit dargetan sein, dass die Vermittlungsf?higkeit durch eine im Hinblick auf ein konkretes berufliches Ziel absolvierte arbeitsmarktliche Massnahme im konkreten Fall tats?chlich und in erheblichem Masse gef?rdert wird (ARV 1987 Nr. 12 S. 114). Sodann ist zu pr?fen, ob die versicherte Person die fragliche Vorkehr bei den gegebenen Umst?nden auch vornehmen w?rde, wenn sie - bei im ?brigen gleichen Verh?ltnissen - nicht arbeitslos oder von Arbeitslosigkeit bedroht w?re (BGE 111 V 276). Die Pr?fung der abeitsmarktlichen Indikation hat prospektiv zu erfolgen, und zwar im Zeitpunkt, da das Gesuch eingereicht wird (BGE 112 V 398).</w:t>
      </w:r>
    </w:p>
    <w:p>
      <w:r>
        <w:t>???????? Zudem hat die versicherte Person nur Anspruch auf die dem jeweiligen Umschulungs-, Weiterbildungs- und Eingliederungszweck angemessenen, notwendigen Massnahmen, nicht aber auf die nach den gegebenen Umst?nden bestm?glichen Vorkehren. Denn nach einem bei Eingliederungsmassnahmen der Invalidenversicherung geltenden und auch hier anwendbaren Grundsatz sind die Massnahmen lediglich insoweit zu gew?hren, als dies im Einzelfall notwendig, aber auch gen?gend ist. Ferner muss der voraussichtliche Erfolg einer Massnahme in einem vern?nftigen Verh?ltnis zu ihren Kosten stehen (BGE 112 V 399 mit Hinweisen).</w:t>
      </w:r>
    </w:p>
    <w:p>
      <w:r>
        <w:rPr>
          <w:b/>
        </w:rPr>
        <w:t>E. 2</w:t>
      </w:r>
    </w:p>
    <w:p>
      <w:r>
        <w:t>2.1???? Vorliegend weist der berufliche Werdegang der Beschwerdef?hrerin darauf hin, dass sie seit ihrer Ankunft in der Schweiz verschiedene Berufe ausge?bt hat mit dem Ziel, ihre kaufm?nnische Ausbildung zu finanzieren und danach in diesem Bereich erwerbst?tig zu sein. Dieses Verhalten ist zwar achtenswert, doch ist zu ber?cksichtigen, dass ihre konkreten Chancen, eine Stelle im gew?nschten Beruf zu finden, unsicher erscheinen: Einerseits reichen ihre Deutschkenntnisse gem?ss der am 27. August 2002 durchgef?hrten Deutscheinsch?tzung aus um Alltagspublikationen und einfache berufsbezogene Fachtexte zu verstehen oder kurze Texte im beruflichen Alltag zu schreiben, nicht jedoch um berufliche Korrespondenz in deutscher Sprache zu erledigen (Urk. 18/1). Andererseits handelt es sich bei der von der Beschwerdef?hrerin besuchten Handelsschule um eine einj?hrige berufsbegleitende Abendsschule (Urk. 18/2), die wohl nicht eine der kaufm?nnischen Lehre oder einer mehrj?hrigen Handelsschule gleichwertige Ausbildung bieten kann.</w:t>
      </w:r>
    </w:p>
    <w:p>
      <w:r>
        <w:t>S?mtliche Arbeitsbem?hungen der Beschwerdef?hrerin, von Ende Februar 2002 bis zum hier massgebenden Zeitpunkt der Gesuchseinreichung (29. Oktober 2002; Urk. 3/1/2), richteten sich auf Stellen im B?robereich (Urk. 18/7/13-19). Arbeitsbem?hungen in den fr?her ausge?bten Berufen sind in der relevanten Zeitspanne keine aktenkundig.</w:t>
      </w:r>
    </w:p>
    <w:p>
      <w:r>
        <w:t>2.2???? Wohl ist aufgrund der bisherigen Ausbildung der Beschwerdef?hrerin einzur?umen, dass die anvisierte B?rot?tigkeit f?r sie von Interesse und beruflichem Wert ist, denn eine solche Besch?ftigung kann den Horizont erweitern und ihr auch wertvolle Kontakte einbringen. Indessen ist nicht ersichtlich, wie das Berufspraktikum ihre Vermittelbarkeit konkret und in erheblichem Masse verbessern k?nnte. Ausserdem l?sst sich wegen der bisherigen einseitigen Stellensuche, der sprachlichen Kenntnisse sowie des Niveaus der beruflichen Ausbildung kein enger Zusammenhang feststellen zwischen der Notwendigkeit des Berufspraktikums und den Schwierigkeiten, eine zumutbare Arbeit, das heisst auch eine solche ausserhalb des B?robereichs, zu finden.</w:t>
      </w:r>
    </w:p>
    <w:p>
      <w:r>
        <w:t>Aus diesen Gr?nden und nach den unter Erw. 1 erw?hnten Grunds?tzen ist mit dem im Sozialversicherungsrecht geltenden Beweisgrad der ?berwiegenden Wahrscheinlichkeit (BGE 126 V 360 Erw. 5b, 125 V 195 Erw. 2, je mit Hinweisen) davon auszugehen, dass das strittige Berufspraktikum nicht geeignet ist, eine erhebliche Verbesserung der Vermittelbarkeit der Beschwerdef?hrerin zu bewirken. Demzufolge ist die angefochtene Verf?gung vom 7. November 2002 nicht zu beanstanden.</w:t>
      </w:r>
    </w:p>
    <w:p>
      <w:r>
        <w:t>Das Gericht erkennt:</w:t>
      </w:r>
    </w:p>
    <w:p>
      <w:r>
        <w:t>1.???????? Die Beschwerde wird abgewiesen.</w:t>
      </w:r>
    </w:p>
    <w:p>
      <w:r>
        <w:t>2.???????? Das Verfahren ist kostenlos.</w:t>
      </w:r>
    </w:p>
    <w:p>
      <w:r>
        <w:t>3.???????? Zustellung gegen Empfangsschein an:</w:t>
      </w:r>
    </w:p>
    <w:p>
      <w:r>
        <w:t>- U.___</w:t>
      </w:r>
    </w:p>
    <w:p>
      <w:r>
        <w:t>- RAV Regionales Arbeitsvermittlungszentrum, Z?rich Fl?ssergasse</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