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AL.2002.01074 vom 23. Mai 2003</w:t>
      </w:r>
    </w:p>
    <w:p>
      <w:r>
        <w:t>ZH Sozialversicherungsgericht, 2003-05-23, DE</w:t>
      </w:r>
    </w:p>
    <w:p>
      <w:r>
        <w:rPr>
          <w:b/>
        </w:rPr>
        <w:t xml:space="preserve">Quelle: </w:t>
      </w:r>
      <w:r>
        <w:t>https://mcp.opencaselaw.ch/entscheid/zh_sozialversicherungsgericht_AL.2002.01074</w:t>
      </w:r>
    </w:p>
    <w:p>
      <w:r>
        <w:t>FR: ZH_SOZIALVERSICHERUNGSGERICHT AL.2002.01074 du 23 mai 2003</w:t>
      </w:r>
    </w:p>
    <w:p>
      <w:r>
        <w:t>IT: ZH_SOZIALVERSICHERUNGSGERICHT AL.2002.01074 del 23 maggio 2003</w:t>
      </w:r>
    </w:p>
    <w:p>
      <w:pPr>
        <w:pStyle w:val="Heading2"/>
      </w:pPr>
      <w:r>
        <w:t>Erwägungen</w:t>
      </w:r>
    </w:p>
    <w:p>
      <w:r>
        <w:rPr>
          <w:b/>
        </w:rPr>
        <w:t>E. 3</w:t>
      </w:r>
    </w:p>
    <w:p>
      <w:r>
        <w:t>3.1???? Dem Beschwerdef?hrer wurde das Arbeitsverh?ltnis mit der A.___ AG mit Schreiben vom 30. Januar 2002 per 31. M?rz 2002 aus wirtschaftlichen Gr?nden gek?ndigt (Urk. 3/2). Dies ist aktenm?ssig ausgewiesen und wird vom Beschwerdegegner denn auch nicht weiter in Frage gestellt (Urk. 5). Streitig und zu pr?fen ist hingegen, ob der Beschwerdef?hrer nach Aufl?sung des Arbeitsverh?ltnisses seine Organstellung als Vizepr?sident weiterhin beibehielt und sich somit in einer arbeitgeber?hnlichen Stellung befand.</w:t>
      </w:r>
    </w:p>
    <w:p>
      <w:r>
        <w:t>3.2???? Der Beschwerdef?hrer macht geltend, er habe per 30. Juni 2001 aus dem Verwaltungsrat demissioniert (Urk. 3/1) und sein Amt als Vizepr?sident der A.___ AG niedergelegt. Er habe im Weiteren weder die Entscheidungsabl?ufe bestimmt noch massgeblich beeinflusst. Auf die K?ndigung selber habe er schon gar keinen Einfluss gehabt. Er habe sich im irrt?mlichen Glauben befunden, dass der Handelsregistereintrag sofort nach Abgabe der Demissionserkl?rung, sp?testens aber mit dem Austritt aus der Firma gel?scht worden sei (Urk. 1).</w:t>
      </w:r>
    </w:p>
    <w:p>
      <w:r>
        <w:rPr>
          <w:b/>
        </w:rPr>
        <w:t>E. 3.3</w:t>
      </w:r>
    </w:p>
    <w:p>
      <w:r>
        <w:t>Dagegen bringt der Beschwerdegegner vor (Urk. 5), der Beschwerdef?hrer habe gem?ss Handelsregisterauszug seine Organstellung noch bis zum 21. August 2002 beibehalten (Urk. 6/5). Der Umstand, dass er mit Schreiben vom 30. Juni 2001 der Pr?sidentin des Verwaltungsrates mitgeteilt habe, dass er sein Mandat als Verwaltungsrat per sofort niederlege, verm?ge nichts an dieser Beurteilung zu ?ndern.</w:t>
      </w:r>
    </w:p>
    <w:p>
      <w:r>
        <w:t>3.4???? Amtet ein Arbeitnehmer als Verwaltungsrat, so ist eine massgebliche Entscheidungsbefugnis im Sinne von Art. 31 Abs. 3 lit. c AVIG ex lege gegeben, denn es geh?rt nach dem Obligationenrecht (Art. 716 - 716b OR) begriffsnotwendigerweise zum Wesen eines Verwaltungsrates, dass er auf die Entscheidfindung der Aktiengesellschaft massgeblichen Einfluss hat. Handelt es sich somit um einen mitarbeitenden Verwaltungsrat, so greift der pers?nliche Ausschlussgrund des Art. 31 Abs. 3 lit. c AVIG und es bedarf keiner weiteren Abkl?rungen (BGE 122 V 270 Erw. 3). Im vorliegenden Fall macht der Beschwerdef?hrer hingegen geltend, er habe per 30. Juni 2001 seine Organstellung aufgegeben, lediglich der Eintrag im Handelsregister sei nicht gel?scht worden.</w:t>
      </w:r>
    </w:p>
    <w:p>
      <w:r>
        <w:t>???????? Die Ausf?hrungen des Beschwerdef?hrers zu seinem (tats?chlichen) Ausscheiden aus dem Verwaltungsrat (Urk. 1) erscheinen glaubhaft und werden durch das Demissionsschreiben belegt (Urk. 3/1). Ein grunds?tzlicher, gesetzlicher Gutglaubensschutz, wie ihn Art. 973 des Schweizerischen Zivilgesetzbuches (ZGB) f?r das Grundbuch kennt, fehlt denn auch im Handelsregisterrecht. Unter analoger Anwendung der Rechtsprechung zu Art. 52 des Bundesgesetzes ?ber die Alters- und Hinterlassenenversicherung (AHVG) ?ber die Verantwortlichkeit des Verwaltungsrates (BGE 126 V 61 ff.) erscheint es daher auch im vorliegenden Fall gerechtfertigt, auf den tats?chlichen Austritt aus dem Verwaltungsrat und nicht auf den Zeitpunkt der L?schung der Funktion im Handelsregister abzustellen. Der Beschwerdef?hrer hat nach seiner Demission per 30. Juni 2001 keinen Einfluss mehr auf den Gang der Gesch?fte gehabt und keine Entsch?digung f?r seine Verwaltungsratsstellung erhalten. Der Anspruch auf Arbeitslosenentsch?digung kann daher vom Beschwerdegegner nicht unter Berufung auf Art. 31 Abs. 3 lit. c AVIG verneint werden. Die Beschwerde ist daher gutzuheissen und die Sache zur Berechnung des Taggeldes an die Arbeitslosenkasse GBI Dietikon zu ?berweisen.</w:t>
      </w:r>
    </w:p>
    <w:p>
      <w:r>
        <w:t>Das Gericht erkennt:</w:t>
      </w:r>
    </w:p>
    <w:p>
      <w:r>
        <w:t>1.???????? In Gutheissung der Beschwerde wird die Verf?gung des AWA vom 8. Oktober 2002 aufgehoben und der Anspruch des Beschwerdef?hrers auf Arbeitslosenentsch?digung vom 1. April 2002 bis 21. August 2002 bejaht.</w:t>
      </w:r>
    </w:p>
    <w:p>
      <w:r>
        <w:t>2.???????? Zwecks Berechnung des Taggeldes wird die Sache nach Eintritt der Rechtskraft an die Arbeitslosenkasse GBI Dietikon ?berwiesen.</w:t>
      </w:r>
    </w:p>
    <w:p>
      <w:r>
        <w:t>3.???????? Das Verfahren ist kostenlos.</w:t>
      </w:r>
    </w:p>
    <w:p>
      <w:r>
        <w:rPr>
          <w:b/>
        </w:rPr>
        <w:t>E. 4</w:t>
      </w:r>
    </w:p>
    <w:p>
      <w:r>
        <w:t>Zustellung gegen Empfangsschein an:</w:t>
      </w:r>
    </w:p>
    <w:p>
      <w:r>
        <w:t>- N.___</w:t>
      </w:r>
    </w:p>
    <w:p>
      <w:r>
        <w:t>- AWA Amt f?r Wirtschaft und Arbeit</w:t>
      </w:r>
    </w:p>
    <w:p>
      <w:r>
        <w:t>- Staatssekretariat f?r Wirtschaft seco</w:t>
      </w:r>
    </w:p>
    <w:p>
      <w:r>
        <w:t>sowie an:</w:t>
      </w:r>
    </w:p>
    <w:p>
      <w:r>
        <w:t>- Arbeitslosenkasse GBI, Dietikon</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