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AK.2025.00005 vom 21. März 2025</w:t>
      </w:r>
    </w:p>
    <w:p>
      <w:r>
        <w:t>ZH Sozialversicherungsgericht, 2025-03-21, DE</w:t>
      </w:r>
    </w:p>
    <w:p>
      <w:r>
        <w:rPr>
          <w:b/>
        </w:rPr>
        <w:t xml:space="preserve">Quelle: </w:t>
      </w:r>
      <w:r>
        <w:t>https://mcp.opencaselaw.ch/entscheid/zh_sozialversicherungsgericht_AK.2025.00005</w:t>
      </w:r>
    </w:p>
    <w:p>
      <w:r>
        <w:t>FR: ZH_SOZIALVERSICHERUNGSGERICHT AK.2025.00005 du 21 mars 2025</w:t>
      </w:r>
    </w:p>
    <w:p>
      <w:r>
        <w:t>IT: ZH_SOZIALVERSICHERUNGSGERICHT AK.2025.00005 del 21 marzo 2025</w:t>
      </w:r>
    </w:p>
    <w:p>
      <w:pPr>
        <w:pStyle w:val="Heading2"/>
      </w:pPr>
      <w:r>
        <w:t>Erwägungen</w:t>
      </w:r>
    </w:p>
    <w:p>
      <w:r>
        <w:rPr>
          <w:b/>
        </w:rPr>
        <w:t>E. 2</w:t>
      </w:r>
    </w:p>
    <w:p>
      <w:r>
        <w:t>5. Februar 2025 erhob der Pflichtige am 1 0. März 2025 Beschwerde mit dem sinngemässen Antrag, der angefochtene Entscheid sei aufzuheben ( Urk. 1). Der Einzelrichter zieht in Erwägung: 1.</w:t>
      </w:r>
    </w:p>
    <w:p>
      <w:r>
        <w:t>1.1</w:t>
      </w:r>
    </w:p>
    <w:p>
      <w:r>
        <w:t>Da der Streitwert Fr. 30’000.-- nicht übersteigt, fällt die Beurteilung der Beschwerde in die einzelrichterliche Zuständigkeit (§ 11 Abs. 1 des Gesetz es über das Sozialversicherungsgericht , GSVGer ). 1.2</w:t>
      </w:r>
    </w:p>
    <w:p>
      <w:r>
        <w:t>Gegen Verfügungen kann innerhalb von 30 Tagen bei der verfügenden Stelle Einsprache erhoben werden; davon ausgenommen sind prozess- und verfahrensleitende Verfügungen ( Art. 52 Abs. 1 des Bundesgesetzes über den Allgemeinen Teil des Sozialversicherungsrechts, ATSG).</w:t>
      </w:r>
    </w:p>
    <w:p>
      <w:r>
        <w:t>Gemäss Art. 38 ATSG beginnt die dreissigtägige Einsprachefrist von Art. 52 Abs. 1 ATSG am Tag nach ihrer Mitteilung zu laufen ( Abs. 1). Gesetzliche oder behördliche Fristen, die nach Tagen oder Monaten bestimmt sind, stehen still: vom siebten Tag vor Ostern bis und mit dem siebten Tag nach Ostern; vom 15.</w:t>
      </w:r>
    </w:p>
    <w:p>
      <w:r>
        <w:t>Juli bis und mit dem 1 5. August und vom 1 8. Dezember bis und mit dem 2. Januar ( Abs. 4).</w:t>
      </w:r>
    </w:p>
    <w:p>
      <w:r>
        <w:t>Nach Art. 39 Abs. 1 in Verbindung mit Art. 52 Abs. 1 ATSG ist die dreissigtägige Frist zur Einsprache gewahrt, wenn die Einsprache spätestens am letzten Tag der Frist bei der verfügenden Stelle eingereicht oder zu deren Handen der Schweizerischen Post oder einer schweizerischen diplomatischen oder konsularischen Vertretung übergeben wird. Läuft die Frist unbenützt ab, so erwächst die Verfügung in (formelle) Rechtskraft mit der Wirkung, dass die verfügende Stelle auf eine verspätet eingereichte Einsprache nicht eintreten darf (vgl. BGE 124 V 401 E. 1a).</w:t>
      </w:r>
    </w:p>
    <w:p>
      <w:r>
        <w:t>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 Art. 41 ATSG). 1.3</w:t>
      </w:r>
    </w:p>
    <w:p>
      <w:r>
        <w:t>Richtet sich die Beschwerde gegen einen Nichteintretensentscheid ,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 1.</w:t>
      </w:r>
    </w:p>
    <w:p>
      <w:r>
        <w:rPr>
          <w:b/>
        </w:rPr>
        <w:t>E. 2.1</w:t>
      </w:r>
    </w:p>
    <w:p>
      <w:r>
        <w:t>D ie Beschwerdegegner in</w:t>
      </w:r>
    </w:p>
    <w:p>
      <w:r>
        <w:t>hielt im Einspracheentscheid vom 2 5. Februar 202</w:t>
      </w:r>
    </w:p>
    <w:p>
      <w:r>
        <w:rPr>
          <w:b/>
        </w:rPr>
        <w:t>E. 2.2</w:t>
      </w:r>
    </w:p>
    <w:p>
      <w:r>
        <w:t>Der Beschwerdeführer stellte sich auf den Standpunkt ( Urk. 1), er habe im Oktober eine Rechnung bekommen und da er nicht gewusst habe , um was es sich handle , habe er bei der SVA angerufen. Danach seien ihm Kopien zur Kontrolle zugesendet worden. Inzwischen sei Dezember gewe sen und er habe einen Brief geschrieben. Nun bekomme er die Ablehnung, weil die Frist abgelaufen sei. Er bitte um eine Korrektur, da es sich um Mitarbeiter handle, die nie bei ihm angestellt gewesen seien. 3.</w:t>
      </w:r>
    </w:p>
    <w:p>
      <w:r>
        <w:t>3.1</w:t>
      </w:r>
    </w:p>
    <w:p>
      <w:r>
        <w:t>Der Beschwerdeführer bestreitet nicht, dass er die ihm per Einschreiben zugestellte Verfügung vom 4. Oktober 2024 am 8. Oktober 2024 empfangen hat. Die 30tägige Einsprachefrist begann damit am 9. Oktober 202 4 zu laufen und endete am 7. November 202 4. Der Beschwerdeführer erhob indes unbestrittener - massen erst mit Eingabe vom 27.</w:t>
      </w:r>
    </w:p>
    <w:p>
      <w:r>
        <w:t>Dezember 2024 bei der Beschwerdegegnerin Einsprache .</w:t>
      </w:r>
    </w:p>
    <w:p>
      <w:r>
        <w:t>Die Einsprachefrist wurde damit nicht gewahrt. Dass der Beschwerdeführer zuerst E rkundigungen einholen wollte , ändern nichts daran, dass eine Einsprache innert Frist erhoben werden muss. 3.2</w:t>
      </w:r>
    </w:p>
    <w:p>
      <w:r>
        <w:t>Da der Beschwerdeführer die Einsprachefrist verpasste, war auf die Einsprache nicht einzutreten, es sei denn, die Einsprachefrist wäre in Anwendung von Art.</w:t>
      </w:r>
    </w:p>
    <w:p>
      <w:r>
        <w:t>41</w:t>
      </w:r>
    </w:p>
    <w:p>
      <w:r>
        <w:t>ATSG wiederherzustellen gewesen . Gründe , die auf eine unverschuldete Verhinderung, innert Frist zu reagieren, schliessen lasse könnte (vgl. E. 1. 2 hiervor), brachte der Beschwerdeführer keine vor und Anhaltspunkte, dass solche vorliegen könnten , ergeben sich auch keine ( Urk. 2). 4.</w:t>
      </w:r>
    </w:p>
    <w:p>
      <w:r>
        <w:t>Da kein entschuldbarer Grund für die verspätete Einreichung der Einsprache vorliegt, trat d ie Beschwerdegegner in zu Recht nicht darauf ein. Dies führt zur Abweisung der Beschwerde. Die Rechtmässigkeit der Schadenersatzforderung bildet nicht Verfahrensgegenstand (E. 1.3 hiervor), weshalb auf die materiellen Einwände des Beschwerdeführers nicht einzugehen ist. Der Einzelrichter erkennt: 1.</w:t>
      </w:r>
    </w:p>
    <w:p>
      <w:r>
        <w:t>Die Beschwerde wird abgewiesen. 2.</w:t>
      </w:r>
    </w:p>
    <w:p>
      <w:r>
        <w:t>Das Verfahren ist kostenlos. 3.</w:t>
      </w:r>
    </w:p>
    <w:p>
      <w:r>
        <w:t>Zustellung gegen Empfangsschein an: - X.___ - Sozialversicherungsanstalt des Kantons Zürich, Ausgleichskasse, unter Beilage einer Kopie von Urk. 1 und Urk. 2 -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GräubNef</w:t>
      </w:r>
    </w:p>
    <w:p>
      <w:r>
        <w:rPr>
          <w:b/>
        </w:rPr>
        <w:t>E. 4</w:t>
      </w:r>
    </w:p>
    <w:p>
      <w:r>
        <w:t>Gemäss § 19 Abs. 1 Satz 1 GSVGer ist der Gegenpartei in der Regel Gelegenheit zu geben, zur Beschwerde Stellung zu nehmen. Erweist sich jedoch eine Beschwerde offensichtlich als unzulässig oder aussichtslos, kann das Gericht gestützt auf § 19 Abs. 2 GSVGer ohne Anhörung der Gegenpartei sofort entscheiden. 2.</w:t>
      </w:r>
    </w:p>
    <w:p>
      <w:r>
        <w:rPr>
          <w:b/>
        </w:rPr>
        <w:t>E. 5</w:t>
      </w:r>
    </w:p>
    <w:p>
      <w:r>
        <w:t>fest ( Urk. 2), m it Schadenersatzverfügung vom 4. Oktober 2024 sei der Beschwerdeführer als Einzelhafter verpflichtet worden , Schadenersatz in der Höhe von Fr. 28'009.65 zu leisten. A m 2 7. Dezember 2024 sei ein Schreiben des Beschwerdeführers eingegangen , in welchem er vorbringe, es sei dem Treuhänder bei der Anmeldung der Mitarbeiter ein Fehler passiert , weshalb er um Korrektur des Entscheids bitte .</w:t>
      </w:r>
    </w:p>
    <w:p>
      <w:r>
        <w:t>A us dem Zustellnachweis sei ersichtlich, dass die Schadenersatzverfügung am</w:t>
      </w:r>
    </w:p>
    <w:p>
      <w:r>
        <w:rPr>
          <w:b/>
        </w:rPr>
        <w:t>E. 8</w:t>
      </w:r>
    </w:p>
    <w:p>
      <w:r>
        <w:t>Oktober</w:t>
      </w:r>
    </w:p>
    <w:p>
      <w:r>
        <w:t>2024 zugestellt w orden sei . D ie Einsprachefrist sei deshalb am 7.</w:t>
      </w:r>
    </w:p>
    <w:p>
      <w:r>
        <w:t>November 2024 abgelaufen und auf die verspätet erfolgte Einsprache könne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