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AK.2025.00002 vom 10. Juli 2025</w:t>
      </w:r>
    </w:p>
    <w:p>
      <w:r>
        <w:t>ZH Sozialversicherungsgericht, 2025-07-10, DE</w:t>
      </w:r>
    </w:p>
    <w:p>
      <w:r>
        <w:rPr>
          <w:b/>
        </w:rPr>
        <w:t xml:space="preserve">Quelle: </w:t>
      </w:r>
      <w:r>
        <w:t>https://mcp.opencaselaw.ch/entscheid/zh_sozialversicherungsgericht_AK.2025.00002</w:t>
      </w:r>
    </w:p>
    <w:p>
      <w:r>
        <w:t>FR: ZH_SOZIALVERSICHERUNGSGERICHT AK.2025.00002 du 10 juillet 2025</w:t>
      </w:r>
    </w:p>
    <w:p>
      <w:r>
        <w:t>IT: ZH_SOZIALVERSICHERUNGSGERICHT AK.2025.00002 del 10 luglio 2025</w:t>
      </w:r>
    </w:p>
    <w:p>
      <w:pPr>
        <w:pStyle w:val="Heading2"/>
      </w:pPr>
      <w:r>
        <w:t>Erwägungen</w:t>
      </w:r>
    </w:p>
    <w:p>
      <w:r>
        <w:rPr>
          <w:b/>
        </w:rPr>
        <w:t>E. 1</w:t>
      </w:r>
    </w:p>
    <w:p>
      <w:r>
        <w:t>Die Y.___ AG mit Sitz in Z.___ war seit 1. Mai 2014 bei der Sozial versicherungsanstalt des Kantons Zürich, Ausgleichskasse, als beitragspflichtige Arbeitgeberin angeschlossen und rechnete mit ihr die paritätischen und FAK-Beiträge ab (vgl. Urk. 7/5) . Mit Urteil vom Oktober 202 0 eröffnete der Konkurs richter des Bezirksgerichts Dietikon den Konkurs über die Gesellschaft .</w:t>
      </w:r>
    </w:p>
    <w:p>
      <w:r>
        <w:t>M it Urteil vom Dezember 2020 stellte die Konkursrichterin das Konkursverfahren mangels Aktiven ein ( Urk. 7 / 419/23 ).</w:t>
      </w:r>
    </w:p>
    <w:p>
      <w:r>
        <w:t>Mit Verfügung vom 2. A ugust 202</w:t>
      </w:r>
    </w:p>
    <w:p>
      <w:r>
        <w:rPr>
          <w:b/>
        </w:rPr>
        <w:t>E. 1.1</w:t>
      </w:r>
    </w:p>
    <w:p>
      <w:r>
        <w:t>Nach Art. 52 Abs. 1 des Bundesgesetz 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 versicherungsbeiträge (Art. 6 des Bundesgesetzes über die obligatorische Arbeits losenversicherung und die Insolvenzentschädigung, AVIG) sowie auf jene an die Familienausgleichskassen (FAK) gemäss dem Bundesgesetz über die Familien zulagen (Art. 25 lit . c FamZG ).</w:t>
      </w:r>
    </w:p>
    <w:p>
      <w:r>
        <w:rPr>
          <w:b/>
        </w:rPr>
        <w:t>E. 1.3.1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Hinweisen; Urteil des Bundesgerichts 9C_373/2022 vom 19. Dezember 2022 E. 4.2 mit weiteren Hinweisen).</w:t>
      </w:r>
    </w:p>
    <w:p>
      <w:r>
        <w:t>Bei Einstellung des Konkursverfahrens mangels Aktiven beginnt die Frist für die Geltendmachung der Schadenersatzforderung (Kenntnis des Schadens) in der Regel mit dem Datum der Veröffentlichung der Einstellung des Konkurs verfahrens mangels Aktiven im Schweizerischen Handelsamtsblatt (SHAB) zu laufen (BGE 129 V 193 E. 2.3).</w:t>
      </w:r>
    </w:p>
    <w:p>
      <w:r>
        <w:rPr>
          <w:b/>
        </w:rPr>
        <w:t>E. 1.3.2</w:t>
      </w:r>
    </w:p>
    <w:p>
      <w:r>
        <w:t>Das Konkursverfahren über die Y.___ AG wurde mit Urteil der Konkursrichterin</w:t>
      </w:r>
    </w:p>
    <w:p>
      <w:r>
        <w:t>vom Dezember 2020 mangels Aktiven einge stellt</w:t>
      </w:r>
    </w:p>
    <w:p>
      <w:r>
        <w:t>( Urk. 7/419/23). Mit Erlass der am 2 5. August 2023 zugestellten Schadenersatzverfügung vom 2. August 2023</w:t>
      </w:r>
    </w:p>
    <w:p>
      <w:r>
        <w:t>( Urk. 7/429 f.) wahrte die Beschwerdegegnerin diese Frist. Die streitgegen ständliche Schadenersatzforderung ist demnach nicht verjährt. 2.</w:t>
      </w:r>
    </w:p>
    <w:p>
      <w:r>
        <w:t>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 pflicht des Arbeitgebers gehören auch die Arbeitgeberbeiträge zum mass geblichen Schaden (BGE 98 V 26 E. 5). 2.2</w:t>
      </w:r>
    </w:p>
    <w:p>
      <w:r>
        <w:t>Der von der Beschwerdegegnerin verfügungsweise geltend gemachte Schaden ( Urk. 7/419/2-4) für die unbezahlt gebliebenen Beiträge und Nebenkosten für die Periode Januar 2019 bis 3 0. September 2020 wird vom Beschwerdeführer in masslicher Hinsicht nicht bestritten. Der Schaden</w:t>
      </w:r>
    </w:p>
    <w:p>
      <w:r>
        <w:t>ist anhand der Kassenakten – insbesondere des Kontoauszugs vom 2 6. Juli 20 23 ( Urk. 7 / 419 /</w:t>
      </w:r>
    </w:p>
    <w:p>
      <w:r>
        <w:rPr>
          <w:b/>
        </w:rPr>
        <w:t>E. 3</w:t>
      </w:r>
    </w:p>
    <w:p>
      <w:r>
        <w:t>, amtlich zugestellt am 2 5. August 2023, verpflichtete die Ausgleichskasse X.___</w:t>
      </w:r>
    </w:p>
    <w:p>
      <w:r>
        <w:t>als ehemaliges Mitglied des Verwaltungsrats der Y.___ AG</w:t>
      </w:r>
    </w:p>
    <w:p>
      <w:r>
        <w:t>als Solidarhafter nebst A.___</w:t>
      </w:r>
    </w:p>
    <w:p>
      <w:r>
        <w:t>zur Bezahlung von Schadenersatz für entgangene Beiträge für die Periode 1. Januar 2019 bis 3 0. September 2020 in der Höhe von Fr. 33 ' 880 . 60 ( Urk.</w:t>
      </w:r>
    </w:p>
    <w:p>
      <w:r>
        <w:rPr>
          <w:b/>
        </w:rPr>
        <w:t>E. 3.1</w:t>
      </w:r>
    </w:p>
    <w:p>
      <w:r>
        <w:t>Art. 14 Abs. 1 AHVG und die Art. 34 ff. der Verordnung über die Alters- und Hinterlassenenversicherung ( AHVV )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Beitragszahlungs- und Abrechnungspflicht des Arbeitgebers ist eine gesetzlich vorgeschriebene öffentlichrechtliche Aufgabe. Die Nichterfüllung dieser öffentlich rechtlichen Aufgabe bedeutet eine Missachtung von Vorschriften im Sinne von Art. 52 Abs. 1 AHVG und zieht die volle Schadendeckung nach sich (BGE 118 V 193 E. 2a; 111 V 172 E. 2, je mit Hinweisen; vgl. Urteil des Bundes gerichts 9C_165/2017 vom 8. August 2017 E. 4.2.3).</w:t>
      </w:r>
    </w:p>
    <w:p>
      <w:r>
        <w:rPr>
          <w:b/>
        </w:rPr>
        <w:t>E. 3.2</w:t>
      </w:r>
    </w:p>
    <w:p>
      <w:r>
        <w:t>Aus den Akten ist ersichtlich, dass die Y.___ AG den ihr als Arbeitgeberin obliegenden Zahlungsverpflichtungen nicht ordnungsgemäss nachgekommen ist, indem sie auf ausgerichteten Löhnen die Sozialversicherungsabgaben nicht beziehungsweise nur unvollständig abführte. Die Beschwerdegegnerin sah sich deshalb bereits seit dem Gründungsjahr 20</w:t>
      </w:r>
    </w:p>
    <w:p>
      <w:r>
        <w:rPr>
          <w:b/>
        </w:rPr>
        <w:t>E. 7</w:t>
      </w:r>
    </w:p>
    <w:p>
      <w:r>
        <w:t>/ 429 f. ). Die Einsprache vom 2 4. September 2023 ( Urk. 7/444) mit Ergänzungen vom 4. Juli 2024 ( Urk. 7/467) hiess die Ausgleichskasse mit Entscheid vom 2 4. Oktober 2024 in dem Sinne teilweise gut, als sie die Schadenersatzforderung auf Fr. 33'438.25 reduzierte ( Urk. 2). 2.</w:t>
      </w:r>
    </w:p>
    <w:p>
      <w:r>
        <w:t>Dagegen reichte X.___</w:t>
      </w:r>
    </w:p>
    <w:p>
      <w:r>
        <w:t>am 2 0. November 2024 bei der Ausgleichskasse eine Stellungnahme ein und beantragte sinngemäss die Aufhebung des Entscheid s ( Urk. 1). Am</w:t>
      </w:r>
    </w:p>
    <w:p>
      <w:r>
        <w:t>1 4. Februar 202 5 überwies die Ausgleichskasse die Stellungnahme</w:t>
      </w:r>
    </w:p>
    <w:p>
      <w:r>
        <w:t>dem hiesigen Gericht als Beschwerde ( Urk. 3) und schloss in ihrer Beschwerdeantwort vom 2 6. März 202 5 auf Abweisung der selben ( Urk. 6 ). Dies wurde dem Beschwerdeführer am 1 9. Mai 202 5 zur Kenntnis gebracht (Urk.</w:t>
      </w:r>
    </w:p>
    <w:p>
      <w:r>
        <w:rPr>
          <w:b/>
        </w:rPr>
        <w:t>E. 8</w:t>
      </w:r>
    </w:p>
    <w:p>
      <w:r>
        <w:t>). Das Gericht zieht in Erwägung: 1.</w:t>
      </w:r>
    </w:p>
    <w:p>
      <w:r>
        <w:rPr>
          <w:b/>
        </w:rPr>
        <w:t>E. 9</w:t>
      </w:r>
    </w:p>
    <w:p>
      <w:r>
        <w:t>-16) – hinreichend substantiiert dargelegt .</w:t>
      </w:r>
    </w:p>
    <w:p>
      <w:r>
        <w:t>D amit ist - bei vorzeitigem Austritt des Beschwerdeführers aus dem Verwaltungsrat</w:t>
      </w:r>
    </w:p>
    <w:p>
      <w:r>
        <w:t>per 2 8. April 2020 - von einem vorliegend relevanten Schadensbetrag von Fr. 33 ' 438 . 25</w:t>
      </w:r>
    </w:p>
    <w:p>
      <w:r>
        <w:t>(vom gesamten Ausstand von Fr. 57 ' 625 . 4 0) auszugehen (vgl. Urk. 7/421, Urk. 7/422 sowie Urk. 2 ) . 3.</w:t>
      </w:r>
    </w:p>
    <w:p>
      <w:r>
        <w:rPr>
          <w:b/>
        </w:rPr>
        <w:t>E. 14</w:t>
      </w:r>
    </w:p>
    <w:p>
      <w:r>
        <w:t>veranlasst, die Gesellschaft wiederholt zu mahnen (vgl. etwa Urk. 7 /</w:t>
      </w:r>
    </w:p>
    <w:p>
      <w:r>
        <w:rPr>
          <w:b/>
        </w:rPr>
        <w:t>E. 19</w:t>
      </w:r>
    </w:p>
    <w:p>
      <w:r>
        <w:t>, 7 / 59 , 7 / 63 , 7 / 65 , 7 / 66 , 7 / 69 , 7/77, 7/88, 7/93, 7 / 143, 7/152, 7/153, 7/156, 7/157, 7/163, 7/ 165, 7/177, 7/181, 7/182, 7/207, 7/221, 7/230, 7/237, 7/246, 7/254, 7/271, 7/316, 7/317, 7/350, 7/356, 7/380 ) und Betreibungen einzuleiten ( Urk. 7 / 74 , 7 / 183 , 7 / 222 , 7 / 225 , 7 / 231 , 7 / 239 , 7 / 244 , 7 / 257 , 7 / 272 , 7 / 33 0 ff. , 7 / 35 7 ). Schliesslich blieben geschuldete Sozialversicherungsbeiträge (inklusive Nebenkosten) in der Höhe von</w:t>
      </w:r>
    </w:p>
    <w:p>
      <w:r>
        <w:t>Fr. 57'625.40</w:t>
      </w:r>
    </w:p>
    <w:p>
      <w:r>
        <w:t>unbezahlt, hiervon relevant sind im vorliegenden Prozess Fr. 33'438. 2 5. Damit ist die Gesellschaft ihren Pflichten als Arbeitgeberin nicht nachgekommen und hat die Vorschriften im Sinne von Art. 52 Abs. 1 AHVG verletzt, weshalb der von ihr verursachte Schaden grundsätzlich voll zu decken ist.</w:t>
      </w:r>
    </w:p>
    <w:p>
      <w:r>
        <w:t>Zu prüfen bleibt, ob und inwieweit der entstandene Schaden auf ein qualifiziert schuldhaftes Verhalten des Beschwerdeführers zurückzuführen ist. 4 .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4.2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zu ermitteln (BGE 108 V 199 E. 3a mit Hinweisen; ZAK 1985 S. 51 E. 2a, S. 620 E. 3b, je mit weiteren Hinweisen). 4.2.2</w:t>
      </w:r>
    </w:p>
    <w:p>
      <w:r>
        <w:t>Nach Art. 717 des Obligationenrechts (OR) müssen die Mitglieder des Verwaltungs rates sowie Dritte, die mit der Geschäftsführung befasst sind, ihre Aufgaben mit aller Sorgfalt erfüllen und die Interessen der Gesellschaft in guten Treuen wahren. Gemäss Art. 716 Abs. 2 OR führt der Verwaltungsrat die Geschäfte der Gesellschaft, soweit er die Geschäftsführung nicht übertragen hat. Art. 716a Abs. 1 OR enthält sodann einen Katalog unübertragbarer und unent ziehbarer Aufgaben. So obliegt dem Verwaltungsrat unter anderem die Oberleitung der Gesellschaft und die Erteilung der nötigen Weisungen (Ziffer 1), die Ausgestaltung des Rechnungswesens, der Finanzkontrolle sowie der Finanz planung (Ziffer 3) und die Oberaufsicht über die mit der Geschäftsführung betrauten Personen, namentlich im Hinblick auf die Befolgung der Gesetze, Statuten, Reglemente und Weisungen (Ziffer 5). Das Verwaltungsratsmitglied hat damit nicht nur die Pflicht, an den Verwaltungsratssitzungen teilzunehmen, sondern sich periodisch über den Geschäftsgang zu informieren und bei Unregel mässigkeiten einzuschreiten (Urteil des Bundesgerichts 9C_651/2012 vom 1 5. Mai 2013 E. 6.2 mit weiteren Hinweisen). Das Gesetz verbietet zwar nicht die Vornahme einer bestimmten Arbeits- und Kompetenzaufteilung, doch die Überwachungs- und Kontrollpflichten verbleiben auch dann beim Verwaltungs rat. Deshalb hat sich jedes Mitglied des Verwaltungsrats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(BGE 114 V 223 E. 4a).</w:t>
      </w:r>
    </w:p>
    <w:p>
      <w:r>
        <w:t>Nach der Rechtsprechung des Bundesgerichts ist bei den nicht geschäftsführen-den Verwaltungsratsmitgliedern von Aktiengesellschaften entscheidend, ob sie den ihnen obliegenden Kontroll- und Aufsichtspflichten nachgekommen sind. Zwar ist der nicht geschäftsführende Verwaltungsrat nicht verpflichtet, jedes einzelne Geschäft der mit der Geschäftsführung und Vertretung Beauftragten zu überwachen, sondern darf sich auf die Überprüfung der Tätigkeit der Geschäfts 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und eine genaue und strenge Kontrolle hinsichtlich der Beobachtung gesetzlicher Vorschriften auszuüben (BGE 114 V 219 E. 4a; Urteil des Bundesgerichts 9C_461/2009 vom 3 1. Dezember 2010 E. 5.3, je mit weiteren Hinweisen). 4.3 4.3.1</w:t>
      </w:r>
    </w:p>
    <w:p>
      <w:r>
        <w:t>Zu seiner Entlastung brachte der Beschwerdeführer vor, dass die Beschwerde gegnerin seine Einsprachen nicht berücksichtigt habe und er gemäss Aktienbuch lediglich für den Schaden von ca. Fr. 16'000.-- verantwortlich sei ( Urk. 1). In der Einsprache vom 4. Juli 2024 ( Urk. 7/467) machte der Beschwerdeführer geltend , seine Freunde A.___ und B.___</w:t>
      </w:r>
    </w:p>
    <w:p>
      <w:r>
        <w:t>hätten unter dem Namen C.___ GmbH ein Lebensmittel - Geschäft geführt. Da das Geschäft nicht gut gelaufen sei und sie Kapital gebraucht hätten , hätten sie ihn gebeten , als Partner einzutreten. Unter dem Namen Y.___ AG hätten sie das Geschäft fortgeführt und er habe seine Partnerschaft mit Kapitalhilfe bis 2018 fortgesetzt, bis er die verschiedenen Schreiben und Schulden und Betreibungen gesehen habe. Erst dann habe er bemerkt, dass er von A.___ und B.___ betrogen worden sei. Anfangs 2018 habe er sofort reagiert und versucht, das Unternehmen zu retten , und es seien auch alle Zahlungen in den Jahren 2018 bis 2019 geleistet worden . A.___ sei aber der Firmeninhaber / Partner gewesen. Die Partnerschaft habe sei n Vermögen zerstört, das er 30 Jahre lang aufgebaut habe .</w:t>
      </w:r>
    </w:p>
    <w:p>
      <w:r>
        <w:t>D ie Schulden gegenüber der Beschwerdegegnerin sollten deshalb zu gleichen Teilen aufgeteilt werden. 4.3.2</w:t>
      </w:r>
    </w:p>
    <w:p>
      <w:r>
        <w:t>Der Beschwerdeführer amtete gemäss Eintrag im Handelsregister des Kantons Zürich vom Februar 2015 bis April</w:t>
      </w:r>
    </w:p>
    <w:p>
      <w:r>
        <w:rPr>
          <w:b/>
        </w:rPr>
        <w:t>E. 20</w:t>
      </w:r>
    </w:p>
    <w:p>
      <w:r>
        <w:t>und auch in den Vorjahren immer wieder Löhne ausgerichtet hat , ohne dass sie die darauf anfallenden Sozialversicherungsabgaben abgeführt oder zumindest in geeigneter Form sicher gestellt hatte. Der Beschwerdeführer muss sich demnach vorhalten lassen, dass die Y.___</w:t>
      </w:r>
    </w:p>
    <w:p>
      <w:r>
        <w:t>AG den Lohnzahlungen Priorität vor der Beitragsentrichtung einräumte, wodurch die Beschwerdegegnerin zu Schaden kam. Indem der Beschwerdeführer nicht gegen dieses pflichtwidrige Handeln der Y.___ AG einschritt, verletzte er seine öffentlich-rechtlichen Pflichten als Mitglied des Verwaltungsrates einer Aktiengesellschaft. Er hätte nämlich dafür sorgen müssen, dass die Y.___ AG nur Löhne ausrichtet, für welche die Gesellschaft auch die entsprechenden Sozialversicherungsbeiträge zu leisten imstande ist (für viele etwa: Urteil des Bundesgerichts H 26/06 vom 1 0. April 2006 mit Hinweis).</w:t>
      </w:r>
    </w:p>
    <w:p>
      <w:r>
        <w:t>Rechtfertigungs- oder Schuldausschlussgründe liegen nach dem Gesagten nicht vor und ein qualifiziertes beziehungsweise grobfahrlässiges Verschulden des Beschwerdeführers ist ebenfalls zu bejahen (E. 4.1). 4. 4</w:t>
      </w:r>
    </w:p>
    <w:p>
      <w:r>
        <w:t>Unter den gegebenen Umständen ist das Verhalten beziehungsweise die Passivität des Beschwerdeführers auch als adäquat kausal (BGE 119 V 406 E. 4a) für den bei der Beschwerdegegnerin eingetretenen beziehungsweise vorliegend r elevanten Schaden von Fr. 33'438.</w:t>
      </w:r>
    </w:p>
    <w:p>
      <w:r>
        <w:rPr>
          <w:b/>
        </w:rPr>
        <w:t>E. 25</w:t>
      </w:r>
    </w:p>
    <w:p>
      <w:r>
        <w:t>zu betrachten.</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eingereicht werden (Art. 82 ff., insbesondere Art. 85,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