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AK.2024.00033 vom 23. Dezember 2024</w:t>
      </w:r>
    </w:p>
    <w:p>
      <w:r>
        <w:t>ZH Sozialversicherungsgericht, 2024-12-23, DE</w:t>
      </w:r>
    </w:p>
    <w:p>
      <w:r>
        <w:rPr>
          <w:b/>
        </w:rPr>
        <w:t xml:space="preserve">Quelle: </w:t>
      </w:r>
      <w:r>
        <w:t>https://mcp.opencaselaw.ch/entscheid/zh_sozialversicherungsgericht_AK.2024.00033</w:t>
      </w:r>
    </w:p>
    <w:p>
      <w:r>
        <w:t>FR: ZH_SOZIALVERSICHERUNGSGERICHT AK.2024.00033 du 23 décembre 2024</w:t>
      </w:r>
    </w:p>
    <w:p>
      <w:r>
        <w:t>IT: ZH_SOZIALVERSICHERUNGSGERICHT AK.2024.00033 del 23 dicembre 2024</w:t>
      </w:r>
    </w:p>
    <w:p>
      <w:pPr>
        <w:pStyle w:val="Heading2"/>
      </w:pPr>
      <w:r>
        <w:t>Erwägungen</w:t>
      </w:r>
    </w:p>
    <w:p>
      <w:r>
        <w:rPr>
          <w:b/>
        </w:rPr>
        <w:t>E. 1</w:t>
      </w:r>
    </w:p>
    <w:p>
      <w:r>
        <w:t>Die Y.___ AG mit Sitz in Z.___</w:t>
      </w:r>
    </w:p>
    <w:p>
      <w:r>
        <w:t>wurde am</w:t>
      </w:r>
    </w:p>
    <w:p>
      <w:r>
        <w:rPr>
          <w:b/>
        </w:rPr>
        <w:t>E. 1.1</w:t>
      </w:r>
    </w:p>
    <w:p>
      <w:r>
        <w:t>Nach Art. 52 Abs. 1 des Bundesgesetz 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solidarisch (Art. 52 Abs. 2 AHVG).</w:t>
      </w:r>
    </w:p>
    <w:p>
      <w:r>
        <w:t>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(Urteil des Bundesgerichts 9C_328/2012 vom 11. Dezember 2012 E. 2.3 mit Hin weis).</w:t>
      </w:r>
    </w:p>
    <w:p>
      <w:r>
        <w:rPr>
          <w:b/>
        </w:rPr>
        <w:t>E. 1.2</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 versicherungsbeiträge (Art. 6 des Bundesgesetzes über die obligatorische Arbeits losenversicherung und die Insolvenzentschädigung, AVIG) sowie auf jene an die Familienausgleichskassen (FAK) gemäss dem Bundesgesetz über die Familien zulagen (Art. 25 lit . c FamZG ) .</w:t>
      </w:r>
    </w:p>
    <w:p>
      <w:r>
        <w:rPr>
          <w:b/>
        </w:rPr>
        <w:t>E. 1.3.1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Bei Einstellung des Konkursverfahrens mangels Aktiven beginnt die Frist für die Geltendmachung der Schadenersatzforderung (Kenntnis des Schadens) in der Regel mit dem Datum der Veröffentlichung der Einstellung des Konkurs verfahrens mangels Aktiven im Schweizerischen Handelsamtsblatt (SHAB) zu laufen (BGE 129 V 193 E. 2.3).</w:t>
      </w:r>
    </w:p>
    <w:p>
      <w:r>
        <w:rPr>
          <w:b/>
        </w:rPr>
        <w:t>E. 1.3.2</w:t>
      </w:r>
    </w:p>
    <w:p>
      <w:r>
        <w:t>Das Konkursverfahren über die Y.___ AG</w:t>
      </w:r>
    </w:p>
    <w:p>
      <w:r>
        <w:t>wurde mit Urteil des Konkursrichters vom 2 6. Juli 20 21 mangels Aktiven eingestellt (vgl. Urk. 7 / 146 /</w:t>
      </w:r>
    </w:p>
    <w:p>
      <w:r>
        <w:rPr>
          <w:b/>
        </w:rPr>
        <w:t>E. 3</w:t>
      </w:r>
    </w:p>
    <w:p>
      <w:r>
        <w:t>1. Oktober 2019 im Handelsregister eingetragen und rechnete bei der Sozialversicherungs anstalt des Kantons Zürich, Ausgleichskasse, als beitragspflichtige Arbeitgeberin die paritätischen und FAK-Beiträge ab ( Urk. 7/1 und Urk. 7/4) . Mit Urteil vom 1 2. April 2021 löste das Handelsgericht des Kantons Zürich die Gesellschaft auf und ordnete ihre Liquidation an. Mit Urteil der Konkursrichterin vom 2 6. Ju li 2021 wurde das Konkursverfahren mangels Aktiven eingestellt und schliesslich die Firma gelöscht ( Urk.</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w:t>
      </w:r>
    </w:p>
    <w:p>
      <w:r>
        <w:t>Nach Art. 36 Abs. 2 AHVV haben die Arbeitgeber die Löhne innert 30 Tagen nach Ablauf der Abrechnungsperiode abzurechnen. Die Abrechnungsperiode umfasst das Kalenderjahr ( Art. 36 Abs. 3 Satz 1 AHVV).</w:t>
      </w:r>
    </w:p>
    <w:p>
      <w:r>
        <w:t>Gemäss Art. 34 Abs. 1 lit . a AHVV haben die Arbeitgeber der Ausgleichskasse die Beiträge monatlich oder, bei jährlichen Lohnsummen unter 200‘000 Franken, vierteljährlich zu bezahlen. Die für die Zahlungsperiode geschuldeten Beiträge sind innert zehn Tagen nach deren Ablauf zu bezahlen ( Art. 34 Abs. 3 AHVV).</w:t>
      </w:r>
    </w:p>
    <w:p>
      <w:r>
        <w:t>Beitragspflichtige, die innert der vorgeschriebenen Frist die Beiträge nicht bezahlen oder die Lohnbeiträge nicht abrechnen, sind von der Ausgleichskasse unverzüglich schriftlich zu mahnen ( Art. 34a Abs. 1 AHVV). Mit der Mahnung ist eine Mahngebühr von 20 bis 200 Franken aufzuerlegen ( Art. 34a Abs. 2 AHVV).</w:t>
      </w:r>
    </w:p>
    <w:p>
      <w:r>
        <w:rPr>
          <w:b/>
        </w:rPr>
        <w:t>E. 3.2</w:t>
      </w:r>
    </w:p>
    <w:p>
      <w:r>
        <w:t>Millionen Schadenersatz und einem fünfjährigen Landesverweis verurteilt w urde ( Urk. 3/ 6 ).</w:t>
      </w:r>
    </w:p>
    <w:p>
      <w:r>
        <w:t>Dem Beschwerdeführer kann damit nicht vorgeworfen werden , in der vorliegend relevanten Beitragsperiode von Januar bis Juni 2020</w:t>
      </w:r>
    </w:p>
    <w:p>
      <w:r>
        <w:t>seine n Aufsichtspflichten hinsichtlich der auf den Löhnen anfallenden und abzuführenden Sozial versicherungs beiträgen nicht nachgekommen zu sein oder nicht dafür gesorgt zu haben , dass</w:t>
      </w:r>
    </w:p>
    <w:p>
      <w:r>
        <w:t>diese zumindest in geeigneter Form sichergestellt werden . Dazu bestand vom zeitlichen Ablauf her keine Veranlassung , und als er im Juni 2020 von der Buchhaltung auf Schulden hingewiesen wurde, reagierte er umgehend und nahm seine Kontrollpflichten wahr. Diese führte n auch dazu, dass bereits im August 2020 die Strafanzeige gegen den Verwaltungsratspräsidenten A.___</w:t>
      </w:r>
    </w:p>
    <w:p>
      <w:r>
        <w:t>eingereicht wurde. Dass aufgrund der verfügten Kontosperren durch die Staatsanwaltschaft die fällig en Zahlung en nicht mehr erfolgte n , kann ebenso wenig dem Beschwerdeführer als qualifiziertes Verschulden angerechnet werden .</w:t>
      </w:r>
    </w:p>
    <w:p>
      <w:r>
        <w:t>Die Machenschaften des Verwaltungsratspräsidenten A.___ , welche nach der Strafanzeige im August 2020 zum Zusammenbruch der Y.___ AG und des gesamten Firmennetzes der E.___ GmbHs geführt hat, waren für den Beschwerdeführer auch nicht absehbar .</w:t>
      </w:r>
    </w:p>
    <w:p>
      <w:r>
        <w:t>Unter den gegebenen Umständen machte der Beschwerdeführer damit zu Recht geltend, dass er keine weiteren Möglichkeiten hatte, um die Beitragsschuld zu reduzieren. Unter den gegebenen Umständen kann ihm keine haftungs begründende grobe Pflichtverletzung gegenüber der Beschwerdegegnerin zur Last gelegt werden. Damit fällt ein haftungsbegründendes qualifiziertes Verschulden, wie es Art. 52 AHVG für die Schadenersatzverpflichtung verlangt, ausser Betracht. Mangels eines qualifizierten Verschuldens hat der Beschwerdeführer als Organ der Y.___ AG für den der Beschwerdegegnerin ent standenen Schaden somit nicht einzustehen.</w:t>
      </w:r>
    </w:p>
    <w:p>
      <w:r>
        <w:t>Der Einspracheentscheid vom 2 3. September 2020 ist daher aufzuheben und die Beschwerde gutzuheissen. Weiterungen zum prozessualen Antrag auf Beiladung weiterer ehemaliger Gesellschaftsorgane erübrigen sich bei diesem Verfahrens ausgang. 6.</w:t>
      </w:r>
    </w:p>
    <w:p>
      <w:r>
        <w:t>Nach Art. 61 lit . g ATSG hat die obsiegende Beschwerde führende Person An 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 schädigungen vor dem Sozialversicherungsgericht [ GebV</w:t>
      </w:r>
    </w:p>
    <w:p>
      <w:r>
        <w:t>SVGer ] ).</w:t>
      </w:r>
    </w:p>
    <w:p>
      <w:r>
        <w:t>Ausgangsgemäss steht dem Beschwerdeführer eine Partei entschädigung zu, welche unter Berücksichtigung, dass dem Beschwerdeführer im Parallelv erfahren AK.2024.00032 (Urteil vom 1 1. November 2024)</w:t>
      </w:r>
    </w:p>
    <w:p>
      <w:r>
        <w:t>mit ähnlicher Thematik bereits eine Prozessentschädigung von Fr. 2 ' 500 .-- zugesprochen wurde ,</w:t>
      </w:r>
    </w:p>
    <w:p>
      <w:r>
        <w:t>mit Fr. 1 ’ 5 00.- (inklusive Mehrwertsteuer und Barauslagen) zu bemessen ist. Das Gericht erkennt: 1.</w:t>
      </w:r>
    </w:p>
    <w:p>
      <w:r>
        <w:t>In Gutheissung der Beschwerde wird der angefochtene Einspracheentscheid der Aus gleichskasse der Sozialversicherungsanstalt des Kantons Zürich vom 2 7. August 202 4 aufgehoben. 2.</w:t>
      </w:r>
    </w:p>
    <w:p>
      <w:r>
        <w:t>Das Verfahren ist kostenlos. 3.</w:t>
      </w:r>
    </w:p>
    <w:p>
      <w:r>
        <w:t>Die Beschwerdegegnerin wird verpflichtet, dem Beschwerdeführer eine Partei entschädigung von Fr. 1’500 .-- (inkl. Barauslagen und MWST) zu bezahlen. 4.</w:t>
      </w:r>
    </w:p>
    <w:p>
      <w:r>
        <w:t>Zustellung gegen Empfangsschein an: - Rechtsanwalt Hanspeter Kümin - Sozialversicherungsanstalt des Kantons Zürich, Ausgleichskasse - Bundesamt für Sozialversicherungen 5.</w:t>
      </w:r>
    </w:p>
    <w:p>
      <w:r>
        <w:t>Da der Streitwert die erforderliche Grenze von Fr. 30'000.-- erreicht, kann gegen diesen Entscheid innert 30 Tagen seit der Zustellung beim Bundesgericht Beschwerde ein gereicht werden (Art. 82 ff., insbesondere Art. 85,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r>
        <w:rPr>
          <w:b/>
        </w:rPr>
        <w:t>E. 7</w:t>
      </w:r>
    </w:p>
    <w:p>
      <w:r>
        <w:t>/ 151 ), hiess die Ausgleichskasse mit Entscheid vom 2 7. August 20 24 teilweise gut und reduzierte die Schadenersatzforderung auf Fr. 3 3'0 22 . 0 5 ( Urk. 2). 2.</w:t>
      </w:r>
    </w:p>
    <w:p>
      <w:r>
        <w:t>Dagegen erhob X.___</w:t>
      </w:r>
    </w:p>
    <w:p>
      <w:r>
        <w:t>am 2 7. September 20 24 Beschwerde ( Urk. 1) und beantragte ,</w:t>
      </w:r>
    </w:p>
    <w:p>
      <w:r>
        <w:t>der Einspracheentscheid sei aufzuheben. Eventuell sei die Sache an die Beschwerdegegnerin zurückzuweisen und der Schadenersatz neu zu berechnen. Sodann seien die weiteren ehemaligen Gesellschaftsorgane A.___ und B.___ zum Beschwerdeverfahren beizuladen. Mit Beschwerdeantwort vom 1 7. Oktober 2024 schloss die Ausgleichskasse mit Ver weis auf die Akten auf Abweisung der Beschwerde ( Urk. 6 ), was dem Beschwerdeführer am 1 8. Oktober 2024 zur Kenntnis gebracht wurde ( Urk.</w:t>
      </w:r>
    </w:p>
    <w:p>
      <w:r>
        <w:rPr>
          <w:b/>
        </w:rPr>
        <w:t>E. 8</w:t>
      </w:r>
    </w:p>
    <w:p>
      <w:r>
        <w:t>). Mit Eingaben vom 7. November und vom 10.</w:t>
      </w:r>
    </w:p>
    <w:p>
      <w:r>
        <w:t>November 2024 reichte der Beschwerdeführer weitere Unterlagen ein ( Urk.</w:t>
      </w:r>
    </w:p>
    <w:p>
      <w:r>
        <w:rPr>
          <w:b/>
        </w:rPr>
        <w:t>E. 9</w:t>
      </w:r>
    </w:p>
    <w:p>
      <w:r>
        <w:t>und Urk. 12). Diese wurden der Beschwerdegegnerin am 1 1. November 2024 zugestellt</w:t>
      </w:r>
    </w:p>
    <w:p>
      <w:r>
        <w:t>Urk. 14). Das Gericht zieht in Erwägung: 1.</w:t>
      </w:r>
    </w:p>
    <w:p>
      <w:r>
        <w:rPr>
          <w:b/>
        </w:rPr>
        <w:t>E. 14</w:t>
      </w:r>
    </w:p>
    <w:p>
      <w:r>
        <w:t>). Mit Erlass der Schadenersatzverfügung vom 9. April 2024 ( Urk. 7/146/2-4 ) wahrte die Beschwerdegegnerin diese Frist. Die</w:t>
      </w:r>
    </w:p>
    <w:p>
      <w:r>
        <w:t>streitgegen ständliche Schadenersatzforderung ist demnach nicht verjährt. 2.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Schaden (BGE 98 V 26 E. 5). 2.2</w:t>
      </w:r>
    </w:p>
    <w:p>
      <w:r>
        <w:t>D ie Beschwerdegegnerin stellte hinsichtlich des geltend gemachte n</w:t>
      </w:r>
    </w:p>
    <w:p>
      <w:r>
        <w:t>Schaden s auf</w:t>
      </w:r>
    </w:p>
    <w:p>
      <w:r>
        <w:t>die nicht abgeführte n</w:t>
      </w:r>
    </w:p>
    <w:p>
      <w:r>
        <w:t>B eiträge auf eine</w:t>
      </w:r>
    </w:p>
    <w:p>
      <w:r>
        <w:t>Lohnsumme von Fr. 267'390.65 gemäss de n Feststellungen der Arbeitgeberkontrolle ( Urk. 7/113) zuzüglich Nebenkosten ab . Dies ergab</w:t>
      </w:r>
    </w:p>
    <w:p>
      <w:r>
        <w:t>- nach verschiedenen Umbuchungen - ein en Beitr agsaus s tand inklusive Verwaltungskosten von Fr.</w:t>
      </w:r>
    </w:p>
    <w:p>
      <w:r>
        <w:t>36'689.2 0. I m angefochtenen Entscheid</w:t>
      </w:r>
    </w:p>
    <w:p>
      <w:r>
        <w:t>wurde die Lohnsumme auf Fr.</w:t>
      </w:r>
    </w:p>
    <w:p>
      <w:r>
        <w:t>241'300.60 herabgesetzt</w:t>
      </w:r>
    </w:p>
    <w:p>
      <w:r>
        <w:t>(vgl. Urk. 2 S. 2) , da das Einkommen einer Mitarbeiterin von Fr. 18'090.05 aus der Jahreslohnsumme heraus zunehmen sei . Dies , da diese r Lohn</w:t>
      </w:r>
    </w:p>
    <w:p>
      <w:r>
        <w:t>über eine andere Gesellschaft des Firmen geflechts ausgerichtet w orden sei .</w:t>
      </w:r>
    </w:p>
    <w:p>
      <w:r>
        <w:t>In masslicher Hinsicht wird dies e</w:t>
      </w:r>
    </w:p>
    <w:p>
      <w:r>
        <w:t>Summe v om Beschwerdeführer weiterhin dahingehend</w:t>
      </w:r>
    </w:p>
    <w:p>
      <w:r>
        <w:t>bestritten , dass</w:t>
      </w:r>
    </w:p>
    <w:p>
      <w:r>
        <w:t>er von Januar bis Juni 2020 seitens der Y.___ AG lediglich im Februar 2020 ein en halbe n Monatslohn von netto Fr. 3'476.35 erhalten habe . Die übrigen</w:t>
      </w:r>
    </w:p>
    <w:p>
      <w:r>
        <w:t>Löhne von Januar bis Juni 2020 seien ihm von der C.___ GmbH ausbezahlt worden .</w:t>
      </w:r>
    </w:p>
    <w:p>
      <w:r>
        <w:t>Aktenkundig sind d azu die Bankauszüge der Bank D.___ ( Urk. 3/9). Daraus geht hervor, dass dem Beschwerdeführer</w:t>
      </w:r>
    </w:p>
    <w:p>
      <w:r>
        <w:t>v on der Y.___ AG einzig die zweite Hälfte des Februarlohns von Fr. 3'476.35 ausbezahlt wurde ( Urk. 3/9 S. 5). V on der C.___ GmbH wurde hingegen der Januar lohn</w:t>
      </w:r>
    </w:p>
    <w:p>
      <w:r>
        <w:t>von Fr. 6 ' 700.30, die zweite Hälft e des Februarlohns von Fr. 3'476.35 sowie der Märzlohn</w:t>
      </w:r>
    </w:p>
    <w:p>
      <w:r>
        <w:t>Fr. 6'168.95 .40 ausgerichtet</w:t>
      </w:r>
    </w:p>
    <w:p>
      <w:r>
        <w:t>( Urk. 3/9 S. 4, S. 6 und S. 7). Über die E.___ GmbH wurden die Löhne April von Fr. 6'818.80, Mai von Fr.</w:t>
      </w:r>
    </w:p>
    <w:p>
      <w:r>
        <w:t>9'552.40 , Juni von 2 x</w:t>
      </w:r>
    </w:p>
    <w:p>
      <w:r>
        <w:t>Fr. 4'418.70 aus bezahlt ( Urk. 3/9 S. 8- S. 11). Dazu liegt auch der Arbeitsvertrag mit der</w:t>
      </w:r>
    </w:p>
    <w:p>
      <w:r>
        <w:t>E.___ GmbH mit Vertrags beginn ab 1. Januar 2020 vor ( Urk. 3/13) .</w:t>
      </w:r>
    </w:p>
    <w:p>
      <w:r>
        <w:t>Die Berechnung im Rahmen der Arbeitgeberkontrolle betreffend die Lohn zahlungen für den Beschwerdeführer von Januar bis März 2020 von Fr. 24'577.20 ( Urk. 9/113) ist zu korrigieren. Massgebend sind die aktenkundigen</w:t>
      </w:r>
    </w:p>
    <w:p>
      <w:r>
        <w:t>Lohn abrechnungen ( Urk. 9/112/42 -43) , wo raus sich ein Bruttomonatslohn von Fr.</w:t>
      </w:r>
    </w:p>
    <w:p>
      <w:r>
        <w:t>8'192.40 ergibt , weshalb ein massgebender Lohn</w:t>
      </w:r>
    </w:p>
    <w:p>
      <w:r>
        <w:t>von Fr. 4 ' 096 .20 ent sprechend dem halben Monatslohn für Februar 2020 resultiert . Mit anderen Worten wurden Fr. 20'481.-- nicht von der Y.___ AG aus gerichtet. Dies reduziert die relevante L ohnsumme auf Fr. 228’819.60.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