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AK.2024.00032 vom 11. November 2024</w:t>
      </w:r>
    </w:p>
    <w:p>
      <w:r>
        <w:t>ZH Sozialversicherungsgericht, 2024-11-11, DE</w:t>
      </w:r>
    </w:p>
    <w:p>
      <w:r>
        <w:rPr>
          <w:b/>
        </w:rPr>
        <w:t xml:space="preserve">Quelle: </w:t>
      </w:r>
      <w:r>
        <w:t>https://mcp.opencaselaw.ch/entscheid/zh_sozialversicherungsgericht_AK.2024.00032</w:t>
      </w:r>
    </w:p>
    <w:p>
      <w:r>
        <w:t>FR: ZH_SOZIALVERSICHERUNGSGERICHT AK.2024.00032 du 11 novembre 2024</w:t>
      </w:r>
    </w:p>
    <w:p>
      <w:r>
        <w:t>IT: ZH_SOZIALVERSICHERUNGSGERICHT AK.2024.00032 del 11 novembre 2024</w:t>
      </w:r>
    </w:p>
    <w:p>
      <w:pPr>
        <w:pStyle w:val="Heading2"/>
      </w:pPr>
      <w:r>
        <w:t>Erwägungen</w:t>
      </w:r>
    </w:p>
    <w:p>
      <w:r>
        <w:rPr>
          <w:b/>
        </w:rPr>
        <w:t>E. 1</w:t>
      </w:r>
    </w:p>
    <w:p>
      <w:r>
        <w:t>Da der Streitwert Fr. 30’000.-- nicht übersteigt, fällt die Beurteilung der Beschwerde in die einzelrichterliche Zuständigkeit (§ 11 Abs. 1 des Gesetz es über das Sozialversicherungsgericht , GSVGer ).</w:t>
      </w:r>
    </w:p>
    <w:p>
      <w:r>
        <w:rPr>
          <w:b/>
        </w:rPr>
        <w:t>E. 2</w:t>
      </w:r>
    </w:p>
    <w:p>
      <w:r>
        <w:t>Es liegen nunmehr übereinstimmende Anträge auf ersatzlose Aufhebung des Ein spracheentscheid s vom 2 8. Juni 2024 ( Urk. 2) vor , welche mit der Akten- und Rechtslage in Übereinstimmung sind . Demnach ist die Beschwerde in Aufhebung de s angefochtenen Einspracheentscheids</w:t>
      </w:r>
    </w:p>
    <w:p>
      <w:r>
        <w:t>gutzuheissen .</w:t>
      </w:r>
    </w:p>
    <w:p>
      <w:r>
        <w:rPr>
          <w:b/>
        </w:rPr>
        <w:t>E. 3</w:t>
      </w:r>
    </w:p>
    <w:p>
      <w:r>
        <w:t>Bei diesem Ausgang des Verfahrens hat der Beschwerdeführer antragsgemäss gestützt auf § 34 Abs. 1 und 3 des GSVGer in Verbindung mit §</w:t>
      </w:r>
    </w:p>
    <w:p>
      <w:r>
        <w:rPr>
          <w:b/>
        </w:rPr>
        <w:t>E. 6</w:t>
      </w:r>
    </w:p>
    <w:p>
      <w:r>
        <w:t>Abs. 1 der Verordnung über die Gebühren, Kosten und Entschädigungen vor dem Sozial versicherungsgericht ( GebV</w:t>
      </w:r>
    </w:p>
    <w:p>
      <w:r>
        <w:t>SVGer ) Anspruch auf eine Parteientschädigung. Diese ist unter Berücksichtigung der Bedeutung der Streitsache und der Schwierigkeit des Prozesses beim praxisgemässen Stundenansatz von Fr. 2</w:t>
      </w:r>
    </w:p>
    <w:p>
      <w:r>
        <w:rPr>
          <w:b/>
        </w:rPr>
        <w:t>E. 8</w:t>
      </w:r>
    </w:p>
    <w:p>
      <w:r>
        <w:t>- Sozialversicherungsanstalt des Kantons Zürich, Ausgleichskasse unter Beilage einer Kopie von Urk.</w:t>
      </w:r>
    </w:p>
    <w:p>
      <w:r>
        <w:rPr>
          <w:b/>
        </w:rPr>
        <w:t>E. 10</w:t>
      </w:r>
    </w:p>
    <w:p>
      <w:r>
        <w:t>und Urk. 11/1-2 - Bundesamt für Sozialversicherungen 5.</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 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