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AK.2024.00029 vom 23. Mai 2025</w:t>
      </w:r>
    </w:p>
    <w:p>
      <w:r>
        <w:t>ZH Sozialversicherungsgericht, 2025-05-23, DE</w:t>
      </w:r>
    </w:p>
    <w:p>
      <w:r>
        <w:rPr>
          <w:b/>
        </w:rPr>
        <w:t xml:space="preserve">Quelle: </w:t>
      </w:r>
      <w:r>
        <w:t>https://mcp.opencaselaw.ch/entscheid/zh_sozialversicherungsgericht_AK.2024.00029</w:t>
      </w:r>
    </w:p>
    <w:p>
      <w:r>
        <w:t>FR: ZH_SOZIALVERSICHERUNGSGERICHT AK.2024.00029 du 23 mai 2025</w:t>
      </w:r>
    </w:p>
    <w:p>
      <w:r>
        <w:t>IT: ZH_SOZIALVERSICHERUNGSGERICHT AK.2024.00029 del 23 maggio 2025</w:t>
      </w:r>
    </w:p>
    <w:p>
      <w:pPr>
        <w:pStyle w:val="Heading2"/>
      </w:pPr>
      <w:r>
        <w:t>Erwägungen</w:t>
      </w:r>
    </w:p>
    <w:p>
      <w:r>
        <w:rPr>
          <w:b/>
        </w:rPr>
        <w:t>E. 1</w:t>
      </w:r>
    </w:p>
    <w:p>
      <w:r>
        <w:t>7. Januar 2024 (Urk. 5/192 ) verpflichtete die Ausgleichs kasse X.___ , ehemalige s</w:t>
      </w:r>
    </w:p>
    <w:p>
      <w:r>
        <w:t>Mitglied des Verwaltungsrates der Y.___ AG , zur Bezahlung von Schadenersatz in der Höhe von Fr. 29'887.65 . Die gegen diesen Entscheid erhobene Einsprache vom</w:t>
      </w:r>
    </w:p>
    <w:p>
      <w:r>
        <w:rPr>
          <w:b/>
        </w:rPr>
        <w:t>E. 1.1</w:t>
      </w:r>
    </w:p>
    <w:p>
      <w:r>
        <w:t>Da der Streitwert Fr. 30’000.-- nicht übersteigt, fällt die Beurteilung der Beschwerde in die einzelrichterliche Zuständigkeit (§ 11 Abs. 1 des Gesetzes über das Sozialversicherungsgericht, GSVGer ). 1. 2</w:t>
      </w:r>
    </w:p>
    <w:p>
      <w:r>
        <w:t>Nach Art. 52 Abs. 1 des Bundesgesetzes über die Alters- und Hinterlassenenver sicherung (AHVG)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 sicherungsbeiträge (Art. 6 des Bundesgesetzes über die obligatorische Arbeitslosen versicherung und die Insolvenzentschädigung, AVIG) sowie auf jene an die Familienausgleichskassen (FAK) gemäss dem Bundesgesetz über die Familien zulagen (Art. 25 lit . c FamZG ). 1. 3 1. 3 .1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 1. 3 .2</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Verbindung mit Art. 60 Abs. 1 des Obligationenrechts, OR).</w:t>
      </w:r>
    </w:p>
    <w:p>
      <w:r>
        <w:t>Bei diesen Fristen handelt es sich entgegen dem Wortlaut der Bestimmung um Verwirkungsfristen, die von Amtes wegen zu berücksichtigen sind (BGE 128 V 10 E. 5a m.w.H .). 1. 3 .3</w:t>
      </w:r>
    </w:p>
    <w:p>
      <w:r>
        <w:t>Die Ausgleichskasse hat in der Regel von dem Zeitpunkt an Kenntnis des Scha dens, in welchem sie unter Beachtung der ihr zumutbaren Aufmerksamkeit erken nen muss, dass die tatsächlichen Gegebenheiten nicht mehr erlauben, die Beiträge einzufordern, wohl aber eine Schadenersatzpflicht begründen können (BGE 134 V 353 E. 1.2, 131 V 425 E. 3.1, 128 V 15 E. 2a, je mit weiteren Hinweisen; Urteil des Bundesgerichts 9C_166/2017 vom 8. August 2017 E. 4.1). Die Frist zur Geltend machung des Schadens wird in Gang gesetzt, wenn die Ausgleichskasse die für den Erlass einer Schadenersatzverfügung notwendige Kenntnis über Exis tenz, Beschaffenheit und wesentliche Merkmale des Schadens sowie die Person des Ersatzpflichtigen hat (BGE 128 V 10 E. 5a mit Hinweisen). In diesem Sinne zumutbare Kenntnis eines Teilschadens genügt (BGE 121 V 240 E. 3c/ bb ; Urteil des Bundesgerichts 9C_131/2008 vom 28. Mai 2009 E. 3.3.1). Nicht erforderlich ist, dass die Höhe des Schadens ziffernmässig bereits genau festgelegt werden kann. Es reicht aus, wenn die Ausgleichskasse die voraussichtliche Höhe des auf grund der unbezahlt gebliebenen Beiträge zu erwartenden Verlusts abzuschätzen vermag (vgl. BGE 116 II 158 E. 4a; Urteile des Bundesgerichts 9C_325/2010 vom 10. Dezember 2010 E. 2.1.1 und 9C_166/2017 vom 8. August 2017 E. 4.1, je mit weiteren Hinweisen).</w:t>
      </w:r>
    </w:p>
    <w:p>
      <w:r>
        <w:t>Im Falle eines Konkurses oder Nachlassvertrages mit Vermögensabtretung hat die Kasse nicht notwendigerweise erst Kenntnis des Schadens, wenn sie in die Vertei lungsliste und Schlussrechnung des Konkursamtes oder Liquidators Einsicht neh men kann oder einen Verlustschein erhält; denn wer im Rahmen solcher Verfah ren einen Verlust erleidet und auf Ersatz klagen will, hat praxisgemäss in der Regel bereits dann ausreichende Kenntnis des Schadens, wenn die Kollokation der Forderungen eröffnet beziehungsweise der Kollokationsplan (und das Inven tar) zur Einsicht aufgelegt wird. In diesem Zeitpunkt ist oder wäre der Gläubiger im Allgemeinen in der Lage, den Stand der Aktiven, die Kollokation seiner For derung und die voraussichtliche Dividende zu kennen (BGE 126 V 443 E. 3a, 119 V 89 E. 3, je mit Hinweisen; Urteil des Bundesgerichts 9C_131/2008 vom 28. Mai 2009 E. 3.3.1 , Urteil des Bundesgerichts 9C_704/2007 vom 1. März 2008 E. 5.1 nicht publ. in: BGE 134 I 179).</w:t>
      </w:r>
    </w:p>
    <w:p>
      <w:r>
        <w:t>Für die Frage nach dem Zeitpunkt der Schadenskenntnis, welche die Frist zur Geltendmachung der Schadenersatzforderung auslöst, ist - im Falle der regelmäs sig massgeblichen und im Schweizerischen Handelsamtsblatt (SHAB) zu veröf fentlichenden Auflage des Kollokationsplanes und des Inventars - auf die tat sächliche Einsichtnahme auf dem Konkursamt abzustellen oder - sofern auf diese Vorkehr verzichtet wird - auf das Ende der Auflagefrist (BGE 121 V 234). 2.</w:t>
      </w:r>
    </w:p>
    <w:p>
      <w:r>
        <w:rPr>
          <w:b/>
        </w:rPr>
        <w:t>E. 1.2</w:t>
      </w:r>
    </w:p>
    <w:p>
      <w:r>
        <w:t>Mit Verfügung vom</w:t>
      </w:r>
    </w:p>
    <w:p>
      <w:r>
        <w:rPr>
          <w:b/>
        </w:rPr>
        <w:t>E. 2</w:t>
      </w:r>
    </w:p>
    <w:p>
      <w:r>
        <w:t>Dagegen erhob X.___</w:t>
      </w:r>
    </w:p>
    <w:p>
      <w:r>
        <w:t>am 1 4. August 2024 Beschwerde (Urk. 1) und beantragte, der angefochtene Einspracheentscheid sei aufzuheben und es sei auf eine Schadenersatzforderung zu verzichten . Eventualiter sei die Schadener satzpflicht des Präsidenten der Y.___ AG festzustellen. Zudem sei diesem sowie dem Geschäftsführer der Y.___ AG der Streit zu verkünden und/oder es seien diese zum Verfahren beizuladen . Am 5. September 2024 bean tragte die Ausgleichskasse , die Beschwerde sei abzuweisen (Urk.</w:t>
      </w:r>
    </w:p>
    <w:p>
      <w:r>
        <w:rPr>
          <w:b/>
        </w:rPr>
        <w:t>E. 2.1</w:t>
      </w:r>
    </w:p>
    <w:p>
      <w:r>
        <w:t>Die Beschwerdegegnerin begründete ihre n</w:t>
      </w:r>
    </w:p>
    <w:p>
      <w:r>
        <w:t>Einspracheentscheid (Urk. 2) im Wesent lichen damit, dass der Beschwerdeführer Mitglied des Verwaltungsrats der Y.___ AG gewesen sei. Der Schaden von Fr. 2 4'929.05 für die Beitrags jahr e 2018 und 2019 sei ausgewiesen . Die Arbeitgeberin habe öffentlich-rechtli che Vorschriften missachtet. Die Pflichtverletzung de s Beschwerdeführer s sei ausgewiesen und Rechtfertigungsgründe seien keine ersichtlich. Zudem sei der adä quate Kausalzusammenhang erstellt. Die Voraussetzungen für eine Haftung nach Art. 52 AHVG seien demnach erfüllt.</w:t>
      </w:r>
    </w:p>
    <w:p>
      <w:r>
        <w:rPr>
          <w:b/>
        </w:rPr>
        <w:t>E. 2.2</w:t>
      </w:r>
    </w:p>
    <w:p>
      <w:r>
        <w:t>Der Beschwerdeführer stellte sich demgegenüber im Wesentlichen auf den Stand punkt, es bestehe kein adäquater Kausalzusammenhang zwischen dem Schadens eintritt und den von ihm wahrgenommenen Sorgfaltspflichten, sei er doch weder geschäftsführender Verwaltungsrat der Gesellschaft noch in das Tagesgeschäft der Y.___ AG eingebunden gewesen. Er habe keine Hinweise darauf gehabt, dass er von der Geschäftsführung bzw. vom Chefbuchalter nicht korrekt über die Zahlungen der Sozialversicherungsbeiträge informiert worden sei und es sei erstellt, dass er seinen Pflichten als Verwaltungsrat vollumfänglich nachge kommen sei (Urk. 1). 3.</w:t>
      </w:r>
    </w:p>
    <w:p>
      <w:r>
        <w:t>Im Konkurs der Y.___ AG wurden am 9. September 2020 der Kollokati onsplan und das Inventar zur Einsicht aufgelegt und die Beschwerdegegnerin wurde vom Konkursamt darauf hingewiesen, dass sie voraussichtlich vollständig zu Verlust kommen werde (Urk. 5/174/1 ). Spätestens nach Ablauf der zwanzig tägigen Auflagefrist des Kollokationsplans, mithin am 2 9. September</w:t>
      </w:r>
    </w:p>
    <w:p>
      <w:r>
        <w:t>2020, wurde die dreijährige Verjährungsfrist von Art. 52 Abs. 3 AHVG ausgelöst. Die Verjährungsfrist endete damit spätestens am 2 9. September 2023 , zu welchem Zeitpunkt die Beschwerdegegnerin ohne Weiteres Kenntnis über die Person des Ersatzpflichtigen hatte, war der Beschwerdeführer doch im Handelsregister als Mitglied des Verwaltungsrats der Konkursitin eingetragen . Die Schadenersatz verfügung vom 17. Januar 2024 (Urk. 5/192 /2-4 ) erging jedoch erst nach diesem Zeitpunkt. Der Beschwerdeführer erhob zwar keine Verjährungseinrede, die Ver jährung ist aber von Amtes wegen zu berücksichtigen (vorstehend E. 1.3.2). Aus den Unterlagen ergeben sich keine Hinweise auf rechtzeitige verjährungsunter brechende Handlungen, die sich auf die Schadenersatzforderung selber bezogen (vgl. dazu BGE 141 V 487 E. 4). Die streitgegenständliche Forderung ist entspre chend verjährt. D ies führt</w:t>
      </w:r>
    </w:p>
    <w:p>
      <w:r>
        <w:t>zur Gutheissung der Beschwerde und zur Aufhebung des angefochtenen Einspracheentscheids .</w:t>
      </w:r>
    </w:p>
    <w:p>
      <w:r>
        <w:t>Die vom Beschwerdeführer beantragte Beiladung des ehemaligen Präsidenten des Verwaltungsrates sowie des Geschäftsführers der Y.___ AG zum vorlie genden Verfahren erübrigt sich bei diesem Verfahrensausgang.</w:t>
      </w:r>
    </w:p>
    <w:p>
      <w:r>
        <w:rPr>
          <w:b/>
        </w:rPr>
        <w:t>E. 4</w:t>
      </w:r>
    </w:p>
    <w:p>
      <w:r>
        <w:t>.</w:t>
      </w:r>
    </w:p>
    <w:p>
      <w:r>
        <w:t>Dem Beschwerdeführer steht eine Parteientschädigung zu, welche vom Gericht ohne Rücksicht auf den Streitwert nach der Bedeutung der Streitsache und nach der Schwierigkeit des Prozesses, dem Zeitaufwand und den Barauslagen fest ge setzt wird (§ 34 Abs. 1 und 3 GSVGer ). Entsprechend ist ihm eine solche von Fr. 1 ‘</w:t>
      </w:r>
    </w:p>
    <w:p>
      <w:r>
        <w:rPr>
          <w:b/>
        </w:rPr>
        <w:t>E. 6</w:t>
      </w:r>
    </w:p>
    <w:p>
      <w:r>
        <w:t>00.-- (inkl. Barauslagen und MWST) zu bezahlen. 4.</w:t>
      </w:r>
    </w:p>
    <w:p>
      <w:r>
        <w:t>Zustellung gegen Empfangsschein an: - Rechtsanwalt Stephan K. Nyffenegger - Sozialversicherungsanstalt des Kantons Zürich, Ausgleichskasse - Bundesamt für Sozialversicherungen 5.</w:t>
      </w:r>
    </w:p>
    <w:p>
      <w:r>
        <w:t>Da der Streitwert unter Fr. 30'000.-- liegt, kann gegen diesen Entscheid innert 30 Tagen seit der Zustellung beim Bundesgericht Beschwerde nach Art. 82 ff. in Ver bindung mit Art. 90 ff. des Bundesgesetzes über das Bundesgericht (BGG) eingereicht werden, wenn sich eine Rechtsfrage von grundsätzlicher Bedeutung stellt (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Bundesgericht die sub 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(Art. 119 Abs. 1 BGG).</w:t>
      </w:r>
    </w:p>
    <w:p>
      <w:r>
        <w:t>Die Fristen stehen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EinzelrichterinDie Gerichtsschreiberin SlavikLanzicher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