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AK.2023.00029 vom 15. Dezember 2023</w:t>
      </w:r>
    </w:p>
    <w:p>
      <w:r>
        <w:t>ZH Sozialversicherungsgericht, 2023-12-15, DE</w:t>
      </w:r>
    </w:p>
    <w:p>
      <w:r>
        <w:rPr>
          <w:b/>
        </w:rPr>
        <w:t xml:space="preserve">Quelle: </w:t>
      </w:r>
      <w:r>
        <w:t>https://mcp.opencaselaw.ch/entscheid/zh_sozialversicherungsgericht_AK.2023.00029</w:t>
      </w:r>
    </w:p>
    <w:p>
      <w:r>
        <w:t>FR: ZH_SOZIALVERSICHERUNGSGERICHT AK.2023.00029 du 15 décembre 2023</w:t>
      </w:r>
    </w:p>
    <w:p>
      <w:r>
        <w:t>IT: ZH_SOZIALVERSICHERUNGSGERICHT AK.2023.00029 del 15 dicembre 2023</w:t>
      </w:r>
    </w:p>
    <w:p>
      <w:pPr>
        <w:pStyle w:val="Heading2"/>
      </w:pPr>
      <w:r>
        <w:t>Erwägungen</w:t>
      </w:r>
    </w:p>
    <w:p>
      <w:r>
        <w:rPr>
          <w:b/>
        </w:rPr>
        <w:t>E. 1</w:t>
      </w:r>
    </w:p>
    <w:p>
      <w:r>
        <w:t>Die Y.___</w:t>
      </w:r>
    </w:p>
    <w:p>
      <w:r>
        <w:t>GmbH</w:t>
      </w:r>
    </w:p>
    <w:p>
      <w:r>
        <w:t>mit Sitz in Z.___</w:t>
      </w:r>
    </w:p>
    <w:p>
      <w:r>
        <w:t>war der Sozial versicherungsanstalt des Kantons Zürich, Ausgleichskasse , als beitragspflichtige Arbeitgeberin angeschlossen und rechnete mit ihr die paritätischen und FAK-Beiträge ab (vgl. Urk. 7/19) . Mit Urteil vom 22. August 2019 eröffnete der Konkursrichter des Bezirksgerichts Affoltern über die Gesellschaft den Konkurs; das Verfahren wurde am 20. September 2019 mangels Aktiven eingestellt (Urk. 9).</w:t>
      </w:r>
    </w:p>
    <w:p>
      <w:r>
        <w:t>Mit Verfügung vom 6. Mai 2022 (Urk. 7/28/2-4) verpflichtete die Ausgleichskasse X.___ , den ehemaligen Gesellschafter und Geschäftsführer der Konkursitin , für entgangene Beiträge zur Bezahlung von Schadenersatz von Fr. 49'716.5 0. Die dagegen am 11. Mai 2022 erhobene Einsprache (Urk. 7/22) hiess die Ausgleichskasse mit Entscheid vom 19. Juni 2023 (Urk. 2) teilweise gut und reduzierte die geforderte Schadenersatzsumme auf Fr. 46'516.50.</w:t>
      </w:r>
    </w:p>
    <w:p>
      <w:r>
        <w:rPr>
          <w:b/>
        </w:rPr>
        <w:t>E. 1.1</w:t>
      </w:r>
    </w:p>
    <w:p>
      <w:r>
        <w:t>Nach Art. 52 Abs. 1 des Bundesgesetzes über die Alters- und Hinterlassenen versicherung (AHVG) hat ein Arbeitgeber, der durch absichtliche oder grob fahrlässige Missachtung von Vorschriften der Versicherung einen Schaden zu 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 haftung nach Art. 52 AHVG sowie die dazu entwickelte Rechtsprechung des Bundesgerichts finden mangels eigener Bestimmungen sinngemäss Anwendung auf die Invalidenversicherungs- (Art. 66 des Bundesgesetzes über die Invaliden versicherung, IVG), Erwerbsersatz- (Art. 21 Abs. 2 des Bundesgesetzes über den Erwerbsersatz, EOG) und Arbeitslosen versicherungsbeiträge (Art. 6 des Bundes gesetzes über die obligatorische Arbeitslosenversicherung und die Insolvenz entschädigung, AVIG) sowie auf jene an die Familienausgleichskassen (FAK) ge mäss dem Bundesgesetz über die Familienzulagen (Art. 25 lit . c FamZG ).</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rPr>
          <w:b/>
        </w:rPr>
        <w:t>E. 1.2.2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Bis zum 31. Dezember 2019 betrug die relative Verjährungsfrist - unter Vorbehalt längerer strafrechtlicher Fristen - zwei Jahre und die absolute Frist fünf Jahre (Art. 52 Abs. 3 AHVG in der bis Ende 2019 gültig gewesenen Fassung).</w:t>
      </w:r>
    </w:p>
    <w:p>
      <w:r>
        <w:t>Übergangsrechtlich sind die Verjährungs- oder Verwirkungsbestimmungen des neuen Rechts auf altrechtliche Ansprüche anwendbar, sofern diese vor dem Inkrafttreten des neuen Rechts entstanden und fällig, aber vor diesem Zeitpunkt noch nicht verjährt oder verwirkt sind (BGE 131 V 425 E. 5.2).</w:t>
      </w:r>
    </w:p>
    <w:p>
      <w:r>
        <w:rPr>
          <w:b/>
        </w:rPr>
        <w:t>E. 1.2.3</w:t>
      </w:r>
    </w:p>
    <w:p>
      <w:r>
        <w:t>Die Ausgleichskasse hat in der Regel von dem Zeitpunkt an Kenntnis des Schadens,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 weisen; Urteil des Bundesgerichts 9C_373/2022 vom 19. Dezember 2022 E. 4.2 mit weiteren Hinweisen). Die Frist zur Geltendmachung des Schadens wird in Gang gesetzt, wenn die Ausgleichskasse die für den Erlass einer Schadenersatz verfügung notwendige Kenntnis über Existenz, Beschaffenheit und wesentliche Merkmale des Schadens sowie die Person des Ersatzpflichtigen hat (BGE 128 V 10 E. 5a mit Hinweisen). In diesem Sinne zumutbare Kenntnis eines Teilschadens genügt (BGE 121 V 240 E. 3c/ bb ; Urteil des Bundesgerichts 9C_131/2008 vom 28. Mai 2009 E. 3.3.1). Nicht erforderlich ist, dass die Höhe des Schadens ziffern mässig bereits genau festgelegt werden kann. Es reicht aus, wenn die Ausgleichs kasse die voraussichtliche Höhe des aufgrund der unbezahlt gebliebenen Beiträge zu erwartenden Verlusts abzuschätzen vermag (vgl. BGE 116 II 158 E. 4a; Urteile des Bundesgerichts 9C_325/2010 vom 10. Dezember 2010 E. 2.1.1 und 9C_373/2022 vom 19. Dezember 2022 E. 4.2.1, je mit weiteren Hinweisen).</w:t>
      </w:r>
    </w:p>
    <w:p>
      <w:r>
        <w:t>Bei Einstellung des Konkursverfahrens mangels Aktiven beginnt die Frist für die Geltendmachung der Schadenersatzforderung (Kenntnis des Schadens) in der Regel mit dem Datum der Veröffentlichung der Einstellung des Konkurs verfahrens mangels Aktiven im Schweizerischen Handelsamtsblatt (SHAB) zu laufen (BGE 129 V 193 E. 2.3).</w:t>
      </w:r>
    </w:p>
    <w:p>
      <w:r>
        <w:rPr>
          <w:b/>
        </w:rPr>
        <w:t>E. 1.2.4</w:t>
      </w:r>
    </w:p>
    <w:p>
      <w:r>
        <w:t>Im Konkurs der</w:t>
      </w:r>
    </w:p>
    <w:p>
      <w:r>
        <w:t>Y.___ GmbH wurde das Verfahren - wie bereits erwähnt - am 2</w:t>
      </w:r>
    </w:p>
    <w:p>
      <w:r>
        <w:rPr>
          <w:b/>
        </w:rPr>
        <w:t>E. 2</w:t>
      </w:r>
    </w:p>
    <w:p>
      <w:r>
        <w:t>August 2019 mangels Aktiven eingestellt, was am 28. August 2019 im SHAB publiziert wurde (vgl. Urk. 9 ). Mit dieser Publikation wurde die zweijährige Verjährungsfrist von altArt . 52 Abs. 3 AHVG in Gang gesetzt. Wie in E. 1 .2.2 ausgeführt wurde, wurde diese zweijährige Frist ab 1. Januar 2020 durch die neue dreijährige relative Verjährungsfrist abgelöst, weil die altrechtliche Frist von zwei Jahren bei Inkrafttreten der neuen Verjährungsordnung am 1. Januar 2020 noch nicht abgelaufen war. Die neue dreijährige Verjährungsfrist endete im vorliegenden Fall am 28. August 202 2. Mit Erlass der Schadenersatzverfügung vom</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Schaden (BGE 98 V 26 E. 5).</w:t>
      </w:r>
    </w:p>
    <w:p>
      <w:r>
        <w:rPr>
          <w:b/>
        </w:rPr>
        <w:t>E. 2.2.1</w:t>
      </w:r>
    </w:p>
    <w:p>
      <w:r>
        <w:t>Die Beschwerdegegnerin stützte ihre Forderung gegen den Beschwerdeführer im Wesentlichen auf</w:t>
      </w:r>
    </w:p>
    <w:p>
      <w:r>
        <w:t>d en Revisionsbericht vom 25. Februar 2020 (Urk. 7/75) und die im Rahmen der Revision erstellten weiteren Dokumente (Urk. 7/79 und 7/81), den Kontoauszug vom 26. April 2022 (Urk. 7/ 28/6-15 ) und die Beitragsübersichten desselben Datums ( Urk. 7/32-34). Des Weiteren liegen zahlreiche Mahnungen (Urk. 7/ 122, 7/ 129, 7/ 135, 7/ 137, 7/ 140, 7/ 146, 7/ 156, 7/ 163, 7/ 170, 7/ 176-177, 7/ 183-184, 7/ 204, 7/ 212, 7/ 215-216, 7/ 223, 7/ 244, 7/ 249, 7/ 260-261, 7/ 264, 7/ 266 und</w:t>
      </w:r>
    </w:p>
    <w:p>
      <w:r>
        <w:t>7/ 270- 271 ), Betreibungsbegehren (Urk. 7/ 12 5 -127, 7/ 153, 7/ 160, 7/ 164-165, 7/ 171-172, 7/ 195, 7/ 198, 7/ 205-206, 7/ 243, 7/ 257 und</w:t>
      </w:r>
    </w:p>
    <w:p>
      <w:r>
        <w:t>7/ 262 ), Zahlungsbefehle (Urk. 7/ 152, 7/ 155, 7/ 161-162, 7/ 166-167, 7/ 188, 7/ 194, 7/ 199-200, 7/ 238, 7/ 248 und 7/ 259 ) und Fortsetzungsbegehren (Urk. 7/ 136, 7/ 139, 7/ 144-145, 7/ 150-151, 7/ 175, 7/ 180, 7/ 185-186, 7/ 225, 7/ 245 und</w:t>
      </w:r>
    </w:p>
    <w:p>
      <w:r>
        <w:t>7/ 254 ) bei den Akten. Daraus ergibt sich, dass die Y.___ GmbH in den Jahren 201</w:t>
      </w:r>
    </w:p>
    <w:p>
      <w:r>
        <w:rPr>
          <w:b/>
        </w:rPr>
        <w:t>E. 2.2.2</w:t>
      </w:r>
    </w:p>
    <w:p>
      <w:r>
        <w:t>Der Beschwerdeführer bestritt das Quantitativ der streitgegenständlichen Forderung insoweit, als er geltend machte, dass die «Rückforderung der Kinder zulagen von Herrn A.___ » rechtlich unbegründet sei. Letzterem sei nur vorübergehend ein Lohn von Fr. 6'500. ausgerichtet worden, danach sei man wieder zur vertraglich vereinbarten Bruttolohnsumme von Fr. 5'723.10 zurück gekehrt. Im Übrigen seien auf dem Kontoauszug nicht sämtliche Lohnzahlungen der Y.___ GmbH an A.___ verzeichnet. Es seien auch Bar zahlungen erfolgt (Urk. 1).</w:t>
      </w:r>
    </w:p>
    <w:p>
      <w:r>
        <w:rPr>
          <w:b/>
        </w:rPr>
        <w:t>E. 2.2.3</w:t>
      </w:r>
    </w:p>
    <w:p>
      <w:r>
        <w:t>Soweit die Ausführungen des Beschwerdeführers dahingehend zu verstehen sein sollten, dass die Y.___ GmbH zusätzlich zu den von der Beschwerdegegnerin verbuchten Lohnzahlungen noch weitere Zahlungen (bar) geleistet habe, würde sich der fragliche Schaden zu seinen Ungunsten gar erhöhen. Der Beschwerdeführer kann jedenfalls aus seinem Vortrag, die Gesell schaft beziehungsweise er selbst als deren Geschäftsführer habe nicht deklarierte Lohnzahlungen (bar) ausgerichtet , nichts zu seinen Gunsten ableiten.</w:t>
      </w:r>
    </w:p>
    <w:p>
      <w:r>
        <w:t>Die Beschwerdegegnerin richtete A.___ , der von August 2017 bis Ende September 2018 bei der Y.___ GmbH angestellt war und der angab, niemals Kinderzulagen (drei Kinder) erhalten zu haben (vgl. Urk. 7/62), Kinder zulagen von insgesamt Fr. 9'800. (Fr. 6'300. und Fr. 3'500. ) aus (Urk. 7/52). Dies führte zu entsprechenden buchhalterischen Belastungen (Rückforderungen) im Konto der Y.___ GmbH (Urk. 7/28/14 , Valutadaten vom 6. April 2020 und 7. Januar 2021).</w:t>
      </w:r>
    </w:p>
    <w:p>
      <w:r>
        <w:t>Die Behauptung des Beschwerdeführers, wonach die entsprechenden Kinder zulagen an A.___ ausbezahlt worden seien, ist nicht belegt. Vielmehr ergibt sich aus der Lohnabrechnung vom August 2017 (Urk. 7/63/1), dass die Y.___ GmbH keine Kinderzulagen an A.___ ausgerichtet hatte. Es ist damit nicht zu beanstanden, dass die Beschwerdegegnerin mit überwiegender Wahrscheinlichkeit davon ausging, dass A.___ auch in der übrigen Zeit seiner Anstellung keine Kinderzulagen erhalten hat. Im Übrigen wäre es nach der allgemeinen Regel von Art. 8 des Zivilgesetzbuches (ZGB) an der Y.___ GmbH beziehungsweise deren Geschäftsführer gewesen zu belegen, dass sie mit befreiender Wirkung an A.___ geleistet haben Das ist nicht erfolgt.</w:t>
      </w:r>
    </w:p>
    <w:p>
      <w:r>
        <w:t>Die Arbeitgeberin</w:t>
      </w:r>
    </w:p>
    <w:p>
      <w:r>
        <w:t>kam folglich ihrer Funktion als Zahlstelle bei der Aus richtung der Familienzulagen (BGE 140 V 233 E. 3.1) nicht nach , weshalb die Direktauszahlung der Familienzulagen an den Arbeitnehmer erfolgte , was die als Rückforderung betitelten Gegenbuchungen im Konto der Y.___ GmbH zu r Folge hatte. Ein hieraus resultierender Schaden fällt gemäss Art. 25 lit . c FamZG unter die Haftung gemäss Art. 52 AHVG.</w:t>
      </w:r>
    </w:p>
    <w:p>
      <w:r>
        <w:rPr>
          <w:b/>
        </w:rPr>
        <w:t>E. 2.2.4</w:t>
      </w:r>
    </w:p>
    <w:p>
      <w:r>
        <w:t>Aus dem Gesagten folgt, dass die Schadensberechnung der Beschwerdegegnerin in der Höhe von Fr. 46'516.50</w:t>
      </w:r>
    </w:p>
    <w:p>
      <w:r>
        <w:t>aufgrund der Akten ausgewiesen und somit zu bestätigen ist.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Abs. 1 AHVG und zieht die volle Schadendeckung nach sich (BGE 118 V 193 E. 2a; 111 V 172 E. 2, je mit Hinweisen; vgl. Urteil des Bundes gerichts 9C_165/2017 vom 8. August 2017 E. 4.2.3). 3.2</w:t>
      </w:r>
    </w:p>
    <w:p>
      <w:r>
        <w:t>Aus den Akten ist ersichtlich, dass die Y.___ GmbH</w:t>
      </w:r>
    </w:p>
    <w:p>
      <w:r>
        <w:t>den ihr als Arbeitgeberin obliegenden Abrechnungs- und Zahlungsverpflichtungen i n den Jahren 2017 bis 2019 (bis zur Konkurseröffnung am 22. August 2019) nicht ordnungsgemäss und nur unvollständig nachkam. Die Beschwerdegegnerin sah sich deshalb veranlasst, die Gesellschaft wiederholt zu mahnen und zahlreiche Schuldbetreibungsverfahren einzuleiten und fortzusetzen. Schliesslich blieben geschuldete Sozialversicherungsbeiträge (inklusive Nebenkosten) in der Höhe von Fr.</w:t>
      </w:r>
    </w:p>
    <w:p>
      <w:r>
        <w:t>46'516.50</w:t>
      </w:r>
    </w:p>
    <w:p>
      <w:r>
        <w:t>unbezahlt (vgl. E. 2.2. 4 ). Es bedarf keiner weiteren Ausführungen, dass die Y.___ GmbH</w:t>
      </w:r>
    </w:p>
    <w:p>
      <w:r>
        <w:t>Vorschriften im Sinne von Art.</w:t>
      </w:r>
    </w:p>
    <w:p>
      <w:r>
        <w:t>52 Abs.</w:t>
      </w:r>
    </w:p>
    <w:p>
      <w:r>
        <w:t>1 AHVG verletzt hat, weshalb der von ihr verursachte Schaden grundsätzlich voll zu decken ist.</w:t>
      </w:r>
    </w:p>
    <w:p>
      <w:r>
        <w:t>Zu prüfen bleibt, inwieweit diese Missachtung öffentlichrechtlicher Arbeitgeber pflichten auf grobfahrlässiges oder vorsätzliches Verhalten des Beschwerde führers zurückzuführen ist. 4.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Schadenersatzpflicht ist im konkreten Fall nur dann begründet, wenn nicht Um stände gegeben sind, welche das fehlerhafte Verhalten der Arbeitgeberin oder des Arbeitgebers als gerechtfertigt erscheinen lassen oder ein Verschulden im Sinne von Absicht oder grober Fahrlässigkeit ausschliessen. In diesem Sinne ist es denk bar, dass eine Arbeitgeberin oder ein Arbeitgeber zwar in vorsätzlicher Miss achtung der AHV-Vorschriften der Ausgleichskasse einen Schaden zufügt, aber trotzdem nicht schadenersatzpflichtig wird, wenn besondere Umstände die Nicht befolgung der einschlägigen Vorschriften als erlaubt oder nicht schuldhaft er scheinen lassen (BGE 108 V 183 E. 1b; ZAK 1985 S. 576 E. 2 und S. 619 E. 3a). 4.2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 haltung gesetzlicher Vorschriften grundsätzlich strenge Anforderungen zu stellen. Ähnlich ist zu differenzieren, wenn es darum geht, die subsidiäre Haftung der Organe zu ermitteln (BGE 108 V 199 E. 3a mit Hinweisen; ZAK 1985 S. 51 E. 2a, S. 620 E. 3b, je mit weiteren Hinweisen). 4.2.2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 nehmens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(BGE 108 V 199 E. 3b). 4.2.3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 wachung der Geschäftsführung, weshalb ihm das Fehlverhalten der Gesellschaft auch nicht angerechnet werden darf (BGE 126 V 237). 5. 5.1</w:t>
      </w:r>
    </w:p>
    <w:p>
      <w:r>
        <w:t>Der Beschwerdeführer brachte keine eigentlichen Rechtfertigungs- oder Schuldausschlussgründe vor. Sein Einwand betreffend Quantitativ der Rück forderung beziehungsweise Rechtmässigkeit der Rückforderung nicht aus bezahlter Kinderzulagen wurde bereits unter E. 2.2.2 und 2.2.3 behandelt. Darauf kann verwiesen werden. 5.2</w:t>
      </w:r>
    </w:p>
    <w:p>
      <w:r>
        <w:t>Der Beschwerdeführer war seit dem 5. Oktober 2016 einziger und einzel zeichnungsberechtigter Geschäftsführer der</w:t>
      </w:r>
    </w:p>
    <w:p>
      <w:r>
        <w:t>Y.___ GmbH , einem Kleinunternehmen mit einfacher Verwaltungsstruktur und nur wenigen Angestellten (vgl. Urk. 7/79 und 7/81). Bei derart leicht überschaubaren Ver hältnissen muss vo m einzigen Geschäftsführer einer Gesellschaft mit beschränkter Haftung verlangt werden, dass er den Überblick über alle wesentlichen Belange des Unternehmens hat.</w:t>
      </w:r>
    </w:p>
    <w:p>
      <w:r>
        <w:t>Der Beschwerdeführer muss sich demnach den Vorhalt gefallen lassen, dass die Y.___ GmbH der Beschwerdegegnerin Sozialversicherungsbeiträge (inklusive Nebenkosten) von Fr. 46'516.50 schuldig blieb (vgl. E. 2.2.4 ), in den Jahren 201</w:t>
      </w:r>
    </w:p>
    <w:p>
      <w:r>
        <w:rPr>
          <w:b/>
        </w:rPr>
        <w:t>E. 6</w:t>
      </w:r>
    </w:p>
    <w:p>
      <w:r>
        <w:t>. Mai 2022 (Urk. 7/28/2-4 ) wahrte die Beschwerdegegnerin diese Frist. Die streitgegenständliche Forderung ist demnach nicht verjährt. 2.</w:t>
      </w:r>
    </w:p>
    <w:p>
      <w:r>
        <w:rPr>
          <w:b/>
        </w:rPr>
        <w:t>E. 7</w:t>
      </w:r>
    </w:p>
    <w:p>
      <w:r>
        <w:t>bis 2019 (bis zur Konkurseröffnung vom 22. August 2019) aber Lohnzahlungen in insgesamt sechsstelliger Höhe ausrichtete (vgl. E. 2 .2.1).</w:t>
      </w:r>
    </w:p>
    <w:p>
      <w:r>
        <w:t>Mit anderen Worten wurde den (eigenen) Lohnzahlungen Priorität vor der Beitrags entrichtung eingeräumt. Indem der Beschwerdeführer nicht gegen diese Praxis der Y.___ GmbH</w:t>
      </w:r>
    </w:p>
    <w:p>
      <w:r>
        <w:t>einschritt beziehungsweise selbst diese Vor gehensweise wählte, verletzte er seine öffentlichrechtlichen Pflichten als Geschäftsführer einer Gesellschaft mit beschränkter Haftung. Er hätte nämlich dafür sorgen müssen, dass die Y.___ GmbH</w:t>
      </w:r>
    </w:p>
    <w:p>
      <w:r>
        <w:t>nur Löhne ausrichtet, für die die Gesellschaft auch die entsprechenden Sozialversicherungsbeiträge zu leisten imstande ist (für viele etwa: Urteil des damaligen Eidgenössischen Ver sicherungsgerichts H 26/06 vom 1 0. April 2006 E. 4.3 mit Hinweis). 5.3</w:t>
      </w:r>
    </w:p>
    <w:p>
      <w:r>
        <w:t>Das Handeln des Beschwerdeführers ist (zumindest) als grobfahrlässig zu qualifizieren. Rechtfertigungs- oder Schuldausschlussgründe sind nicht ersichtlich. 6 .</w:t>
      </w:r>
    </w:p>
    <w:p>
      <w:r>
        <w:t>Unter den gegebenen Umständen ist das Verhalten beziehungsweise die Passivität des Beschwerdeführers ohne Weiteres auch adäquat kausal (BGE 119 V 406 E. 4a) für den bei der Beschwerdegegnerin eingetretenen</w:t>
      </w:r>
    </w:p>
    <w:p>
      <w:r>
        <w:t>Schaden in der Höhe von Fr. 46'516.50 (vgl. E. 2.2 ), weshalb er zu Recht verpflichtet wurde, dafür Ersatz zu leisten.</w:t>
      </w:r>
    </w:p>
    <w:p>
      <w:r>
        <w:t>Demzufolge ist die Beschwerde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die erforderliche Grenze von Fr. 30'000.-- erreicht, kann gegen diesen Entscheid innert 30 Tagen seit der Zustellung beim Bundesgericht Beschwerde ein gereicht werden (Art. 82 ff., insbesondere Art. 85,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