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AK.2022.00026 vom 31. August 2023</w:t>
      </w:r>
    </w:p>
    <w:p>
      <w:r>
        <w:t>ZH Sozialversicherungsgericht, 2023-08-31, DE</w:t>
      </w:r>
    </w:p>
    <w:p>
      <w:r>
        <w:rPr>
          <w:b/>
        </w:rPr>
        <w:t xml:space="preserve">Quelle: </w:t>
      </w:r>
      <w:r>
        <w:t>https://mcp.opencaselaw.ch/entscheid/zh_sozialversicherungsgericht_AK.2022.00026</w:t>
      </w:r>
    </w:p>
    <w:p>
      <w:r>
        <w:t>FR: ZH_SOZIALVERSICHERUNGSGERICHT AK.2022.00026 du 31 août 2023</w:t>
      </w:r>
    </w:p>
    <w:p>
      <w:r>
        <w:t>IT: ZH_SOZIALVERSICHERUNGSGERICHT AK.2022.00026 del 31 agosto 2023</w:t>
      </w:r>
    </w:p>
    <w:p>
      <w:pPr>
        <w:pStyle w:val="Heading2"/>
      </w:pPr>
      <w:r>
        <w:t>Erwägungen</w:t>
      </w:r>
    </w:p>
    <w:p>
      <w:r>
        <w:rPr>
          <w:b/>
        </w:rPr>
        <w:t>E. 1</w:t>
      </w:r>
    </w:p>
    <w:p>
      <w:r>
        <w:t>Ziff.</w:t>
      </w:r>
    </w:p>
    <w:p>
      <w:r>
        <w:rPr>
          <w:b/>
        </w:rPr>
        <w:t>E. 1.1</w:t>
      </w:r>
    </w:p>
    <w:p>
      <w:r>
        <w:t>Die Beschwerdegegnerin begründete den angefochtenen Entscheid damit, dass es die Z.___ GmbH unterlassen habe, die Beiträge der Jahre 2013 bis 2019 inklusive Mahnkosten und Verzugszinsen zu bezahlen. Damit sei sie ihrer Pflicht als Arbeitgeberin nicht nachgekommen und habe öffentlich-rechtliche Vorschrif ten missachtet. Der Beschwerdegegnerin sei ein Schaden entstanden. Im Inkas soverfahren habe die Beschwerdegegnerin noch diverse Zahlungen erhalten, welche von der ursprünglichen Forderung von Fr. 344'490.60 in Abzug gebracht worden seien. Im Weiteren habe sich die Forderung aufgrund der Schlussabrech nung für das Jahr 2019 reduziert, da weniger Löhne ausbezahlt als zunächst in Rechnung gestellt worden seien. Nach Abzug dieser Gutschriften seien noch Fr. 318'132.50 offen. Der Beschwerdeführer sei von der Gründung bis zum Konkurs der Z.___ GmbH deren Geschäftsführer gewesen. Als Geschäftsführer seien ihm die in Art. 810 OR aufgeführten, unübertragbaren und unentziehbaren Aufgaben oblegen. Als formelles Organ der Z.___ GmbH, bei welcher es sich um ein Kleinunternehmen handle , hafte er für alle Ausstände, die bis zur Konkurseröffnung aufgelaufen seien. Würden bei unge nügender Liquidität Löhne bezahlt, ohne dass die geschuldeten Beiträge abge führt würden , sei dies grobfahrlässig. Hätte der Beschwerdeführer die geschulde ten Beiträge fristgerecht abgeliefert und nur so weit Löhne ausbezahlt, als die darauf geschuldeten Abgaben bei Fälligkeit hätte n beglichen werden können, wäre der Schaden nicht eingetreten. Der adäquate Kausalzusammenhang sei damit erstellt ( Urk. 2).</w:t>
      </w:r>
    </w:p>
    <w:p>
      <w:r>
        <w:rPr>
          <w:b/>
        </w:rPr>
        <w:t>E. 1.2</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w:t>
      </w:r>
    </w:p>
    <w:p>
      <w:r>
        <w:rPr>
          <w:b/>
        </w:rPr>
        <w:t>E. 1.3</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nehmens zuzurechnen ist. Ob ein Organ schuldhaft gehandelt hat, hängt dem 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 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 tung als einziges Verwaltungsorgan an den Geschäftsführer delegieren (BGE 108 V 199 E. 3b).</w:t>
      </w:r>
    </w:p>
    <w:p>
      <w:r>
        <w:rPr>
          <w:b/>
        </w:rPr>
        <w:t>E. 1.4</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 gen besteht für den blossen Gesellschafter einer GmbH vorbehältlich einer abweichenden statutarischen Regelung keine Pflicht zur Kontrolle oder Überwa chung der Geschäftsführung, weshalb ihm das Fehlverhalten der Gesellschaft auch nicht angerechnet werden darf (BGE 126 V 237).</w:t>
      </w:r>
    </w:p>
    <w:p>
      <w:r>
        <w:t>Gemäss Art. 812 Abs. 1 OR sind die Geschäftsführer einer GmbH sowie Dritte, die mit der Geschäftsfüh rung befasst sind, verpflichtet, ihre Aufgabe mit aller Sorgfalt zu erfüllen und die Interessen der Gesellschaft in guten Treuen zu wah ren. Art. 810 Abs. 2 OR enthält einen – im Wesentliche n der aktienrechtlichen Bestimmung von Art. 716a Abs. 1 OR entsprechenden – Katalog unübertragbarer und unentziehbarer Aufgaben. So obliegt den Geschäfts führern insbesondere die Oberleitung der Gesellschaft und die Erteilung der nötigen Weisungen (Ziffer 1), die Ausgestaltung des Rech nungswesens, der Finanzkontrolle sowie der Finanz planung (Ziffer 3) und die Oberaufsicht über die Personen, denen Teile der Geschäftsführung übertragen sind, namentlich im Hinblick auf die Befolgung der Gesetze, Statuten, Regle mente und Weisungen (Ziffer 5). Das Gesetz verbietet zwar die Vornahme einer bestimmten Arbeits- und Kompetenzaufteilung nicht, die Überwachungs- und Kontrollpflichten verbleiben jedoch bei sämtlichen Geschäftsführern. Kernstück der nicht delegierbaren Sorg faltspflichten bildet die Überwachungspflicht. Dazu gehört, dass sich jedes Mit glied der Geschäftsführung laufend über den Geschäftsgang informiert, Rapporte verlangt, sie sorgfältig studiert, nötigenfalls ergänzende Auskünfte einzieht und Irrtümer abzuklären ver sucht. Die Rechtslage ist insoweit nicht anders als bei einer Aktiengesellschaft (vgl. BGE 114 V 219 E. 4a).</w:t>
      </w:r>
    </w:p>
    <w:p>
      <w:r>
        <w:rPr>
          <w:b/>
        </w:rPr>
        <w:t>E. 3</w:t>
      </w:r>
    </w:p>
    <w:p>
      <w:r>
        <w:t>]</w:t>
      </w:r>
    </w:p>
    <w:p>
      <w:r>
        <w:t>und d ie Schlussrechnung des Jahres 2019 vom 2 7. Juli 2020 [ Urk. 7/1139] ). Wie die Beschwerdegegnerin nachvollziehbar er läu terte , sind im vom Beschwerdeführer im April 2020 generierten Auszug aus dem AHVeasy</w:t>
      </w:r>
    </w:p>
    <w:p>
      <w:r>
        <w:t>(vgl. Urk. 7/ 1132 ) nur noch die nicht abgeschriebenen Kosten ersicht lic h. Im Gläubigerzirkular im Konkursverfahren über die Z.___ GmbH in Liquidation vom 2 9. August 2022 erklärte das Konkursamt A.___ sodann zwar zunächst , dass es am 2 2. Januar 2021, als es das summarische Verfahren</w:t>
      </w:r>
    </w:p>
    <w:p>
      <w:r>
        <w:t>habe beantragen können , gewusst habe, dass aus der Verwertung der Grundstü cke ein mutmasslicher</w:t>
      </w:r>
    </w:p>
    <w:p>
      <w:r>
        <w:t>Aktivenüberschuss resultieren werde. Gleichzeitig ist d em</w:t>
      </w:r>
    </w:p>
    <w:p>
      <w:r>
        <w:t>Gläubigerzirkular jedoch auch zu entnehmen, dass per 30.</w:t>
      </w:r>
    </w:p>
    <w:p>
      <w:r>
        <w:t>Juli 2021 der Kollo kationsplan samt Lastenverzeichnis sen und Inventar aufgelegt worden sei. Nach dem (damaligen) Stand der Dinge gehe das Konkursamt davon aus, dass sowohl die pfandgesicherten Gläubiger als auch die Gläubiger der ersten Klasse eine voll ständige Deckung erhalten würden. Bezüglich der Forderungen in der zweiten und dritten Klasse seien derzeit noch Dividenden zu erwarten , was sich aufgrund von Verzögerungen aber noch verändern könne ( Urk. 7/1160/1-3). Da es sich bei der von der Beschwerdegegnerin mit Eingabe vom 2 4. Februar 2021 ( Urk. 7/1156) beim Konkursamt A.___ geltend gemachten Forderung um eine Forderung der zweiten Klasse handelt (vgl. Art. 219 Abs.</w:t>
      </w:r>
    </w:p>
    <w:p>
      <w:r>
        <w:rPr>
          <w:b/>
        </w:rPr>
        <w:t>E. 3.1.1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w:t>
      </w:r>
    </w:p>
    <w:p>
      <w:r>
        <w:rPr>
          <w:b/>
        </w:rPr>
        <w:t>E. 4</w:t>
      </w:r>
    </w:p>
    <w:p>
      <w:r>
        <w:t>.2</w:t>
      </w:r>
    </w:p>
    <w:p>
      <w:r>
        <w:t>Aus den Akten ist ersichtlich, dass die Z.___ GmbH den ihr als Arbeit geberin obliegenden Abrechnungspflichten von Beginn weg höchst mangelhaft bzw. mit erheblicher Verspätung und den Zahlungsverpflichtungen nicht nach gekommen ist, indem sie auf den zwischen Januar 2013 bis Dezember 2019 aus gerichteten Löhnen die Sozialversicherungsabgaben zum grössten Teil nicht abführte . Verbuchte Gutschriften erschöpfen sich in Verrechnungen mit Famili enzulagen, CO 2 -Rückzahlungen und Stornierungen von in Rechnung gestellten Beiträge n ; effektive Einzahlungen erfolgten zuletzt anfangs 2015 ( Urk. 7/1080/9). Die Beschwerdegegnerin sah sich deshalb veranlasst, die Gesell schaft wiederholt zu mahnen , Betreibungen einzuleiten und die Lohnbeiträge zu veranlagen (vgl. Urk. 7/1080/4-27). Ferner wurden Termine für eine anberaumte Arbeitgeberkontrolle unentschuldigt nicht eingehalten , was zu einer Strafanzeige führte ( Urk. 7/914, Urk. 7/929, Urk. 7/963). Die Z.___ GmbH ist ihren Zahlungs- und Arbeitgeberpflichten somit nicht nachgekommen.</w:t>
      </w:r>
    </w:p>
    <w:p>
      <w:r>
        <w:t>Zu prüfen bleibt, inwieweit diese Missachtung öffentlichrechtlicher Arbeitgeber pflichten auf grobfahrlässiges oder vorsätzliches Verhalten des Beschwerde führers zurückzuführen ist.</w:t>
      </w:r>
    </w:p>
    <w:p>
      <w:r>
        <w:rPr>
          <w:b/>
        </w:rPr>
        <w:t>E. 4.1.1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w:t>
      </w:r>
    </w:p>
    <w:p>
      <w:r>
        <w:rPr>
          <w:b/>
        </w:rPr>
        <w:t>E. 5</w:t>
      </w:r>
    </w:p>
    <w:p>
      <w:r>
        <w:t>2</w:t>
      </w:r>
    </w:p>
    <w:p>
      <w:r>
        <w:t>Der Beschwerdeführer ist seit der Eintragung der Z.___ GmbH</w:t>
      </w:r>
    </w:p>
    <w:p>
      <w:r>
        <w:t>im Handelsregister am 2 3. November 2005 Gesellschafter und Geschäftsführer mit Kollektivunterschrift zu zweien (www.zefix.ch). Ihm kommt somit formelle Organeigenschaft zu.</w:t>
      </w:r>
    </w:p>
    <w:p>
      <w:r>
        <w:t>Bei der Z.___ GmbH handelte es sich um ein kleines Unternehmen mit weniger als zehn Angestellten ( Urk. 7/247/2, Urk. 7/ 375/2, Urk. 7/635/2, Urk. 7/ 964/2 , Urk. 7/994/3 und Urk.</w:t>
      </w:r>
    </w:p>
    <w:p>
      <w:r>
        <w:t>7/1135). Bei derart leicht überschaubaren Verhältnissen musste der Beschwerdeführer als Geschäftsführungsmitglied den Überblick über alle wesentlichen Belange des Unternehmens haben.</w:t>
      </w:r>
    </w:p>
    <w:p>
      <w:r>
        <w:t>Nach der Rechtsprechung zu Art. 52 AHVG ist es – allenfalls abgesehen von kurzfristigen Ausständen – grobfahrlässig, Löhne zu bezahlen, wenn wie vorliegend die darauf geschuldeten AHV-Beiträge nicht gedeckt waren. Ein solches Verhalten ist den verantwortlichen Organen grund sätzlich als qualifiziertes Verschulden zuzurech nen, was die volle Schadenersatz pflicht nach sich zieht, sofern die übrigen Haftungsvoraussetzungen ebenfalls erfüllt sind (vgl. Urteil des Bundesgerichts 9C_311/ 2015 vom 9. Juli 2015 E. 4.2.2). Dieser Verpflichtung ist der Beschwer deführer nicht nachgekommen. Er räumte de n Netto-Lohnzahlung en</w:t>
      </w:r>
    </w:p>
    <w:p>
      <w:r>
        <w:t>in den Jahren 2013 bis 2019 offenbar Priorität vor der Beitragsentrichtung ein.</w:t>
      </w:r>
    </w:p>
    <w:p>
      <w:r>
        <w:t>Nach dem Gesagten steht fest, dass dem Beschwerdeführer die Nichtbegleichung von Sozialversicherungsbeiträgen (inkl. Nebenkosten) als mindestens grobfahr lässige Unterlassung anzurechnen ist. Exkulpationsgründe sind nicht gegeben. Inwiefern die Beschwerdegegnerin ein Mitverschulden am Entstehen des Scha dens treffen soll, ist nicht ersichtlich.</w:t>
      </w:r>
    </w:p>
    <w:p>
      <w:r>
        <w:rPr>
          <w:b/>
        </w:rPr>
        <w:t>E. 5.1.1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 achtung der AHV-Vorschriften der Ausgleichskasse einen Schaden zufügt, aber trotzdem nicht schadenersatzpflichtig wird, wenn besondere Umstände die Nicht befolgung der einschlägigen Vorschriften als erlaubt oder nicht schuldhaft erscheinen lassen (BGE 108 V 183 E. 1b; ZAK 1985 S. 576 E. 2 und S. 619 E. 3a).</w:t>
      </w:r>
    </w:p>
    <w:p>
      <w:r>
        <w:rPr>
          <w:b/>
        </w:rPr>
        <w:t>E. 6.1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w:t>
      </w:r>
    </w:p>
    <w:p>
      <w:r>
        <w:rPr>
          <w:b/>
        </w:rPr>
        <w:t>E. 6.2</w:t>
      </w:r>
    </w:p>
    <w:p>
      <w:r>
        <w:t>Hätte d er Beschwerdeführer nur soweit Löhne ausbezahlt, als er die darauf geschul deten Beiträge bei Fälligkeit ebenfalls hätte begleichen können bzw. hätte er in äquivalenter Weise die Beiträge auf den Lohnsummen monatlich akonto abgeführt , wäre der Schaden der Beschwerdegegnerin nicht eingetreten. Zwi schen dem widerrechtlichen Ver halten des für das Handeln der Arbeitgeber firma verantwortlichen Beschwerde führers und dem eingetretenen Schaden ist ein adä quater Kausalzusammenhang demnach zu bejahen.</w:t>
      </w:r>
    </w:p>
    <w:p>
      <w:r>
        <w:rPr>
          <w:b/>
        </w:rPr>
        <w:t>E. 6.3</w:t>
      </w:r>
    </w:p>
    <w:p>
      <w:r>
        <w:t>Dass die Beschwerdegegnerin gegenüber dem Beschwerdeführer eine Schadener satzforderung nach Art. 52 AHVG geltend machte, ohne gegen ihn auch Verant wortlichkeitsansprüche nach Art. 754 OR anzustreben , ist im Übrigen nicht rechtsmissbräuchlich. Die Voraussetzungen dieser Ansprüche sind unterschied lich.</w:t>
      </w:r>
    </w:p>
    <w:p>
      <w:r>
        <w:t>Schliesslich ist zu bemerken, dass es der Beschwerdegegnerin grundsätzlich frei steht , gegen welchen Schuldner sie vorgehen möchte (BGE 108 V 195; Urteil des Bundesgerichts 9C_321/2022 vom 2 3. März 2023 E. 4.4.2 ) . Vorliegend hat die Beschwerdegegnerin den Beschwerdeführer als Einzelhafter zur Bezahlung von Schadenersatz verpflichtet. Dass sie nicht auch gegen den ehemaligen Geschäfts führer B.___ vorging, ist für die Beurteilung der vorliegenden Haftungs ansprüche irrelevant . Wie der Schaden gesellschaftsintern aufzuteilen ist, ist auf dem Zivilweg zu klären (vgl. Art. 759 Abs. 3 OR).</w:t>
      </w:r>
    </w:p>
    <w:p>
      <w:r>
        <w:rPr>
          <w:b/>
        </w:rPr>
        <w:t>E. 7</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lic.</w:t>
      </w:r>
    </w:p>
    <w:p>
      <w:r>
        <w:t>iur . Y.___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