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AK.2022.00024 vom 28. November 2022</w:t>
      </w:r>
    </w:p>
    <w:p>
      <w:r>
        <w:t>ZH Sozialversicherungsgericht, 2022-11-28, DE</w:t>
      </w:r>
    </w:p>
    <w:p>
      <w:r>
        <w:rPr>
          <w:b/>
        </w:rPr>
        <w:t xml:space="preserve">Quelle: </w:t>
      </w:r>
      <w:r>
        <w:t>https://mcp.opencaselaw.ch/entscheid/zh_sozialversicherungsgericht_AK.2022.00024</w:t>
      </w:r>
    </w:p>
    <w:p>
      <w:r>
        <w:t>FR: ZH_SOZIALVERSICHERUNGSGERICHT AK.2022.00024 du 28 novembre 2022</w:t>
      </w:r>
    </w:p>
    <w:p>
      <w:r>
        <w:t>IT: ZH_SOZIALVERSICHERUNGSGERICHT AK.2022.00024 del 28 novembre 2022</w:t>
      </w:r>
    </w:p>
    <w:p>
      <w:pPr>
        <w:pStyle w:val="Heading2"/>
      </w:pPr>
      <w:r>
        <w:t>Erwägungen</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Gleiches gilt für die bis 31. Dezember 2008 nach kantonalem Recht erhobenen FAK-Beiträge (§ 33 Abs. 2 des Gesetzes über Kinderzulagen für Arbeitnehmer in der bis Ende 2007 gültig gewesenen Fassung bzw. § 33 des ab 1. Januar 2008 bis 30. Juni 2009 gültig gewesenen Kinderzulagengesetzes; nicht publiziertes Urteil des Bundesgerichts 2P.251/1996 vom 30. Juni 1997).</w:t>
      </w:r>
    </w:p>
    <w:p>
      <w:r>
        <w:rPr>
          <w:b/>
        </w:rPr>
        <w:t>E. 1.2</w:t>
      </w:r>
    </w:p>
    <w:p>
      <w:r>
        <w:t>Mit Verfügung vom 17. Februar 2012 (Urk. 2/ 2/7/476) verpflichtete die Ausgleichs kasse X.___ , ehemals Geschäftsführerin und Direktorin der Konkursitin , zur Zahlung von Schadenersatz in der Höhe von Fr. 369'948.15 (als Einzelhafterin ). Die dagegen mit Eingabe vom 23. März 2012 (Urk. 2/ 2/7/492) erhobene Einsprache hiess die Ausgleichskasse mit Entscheid vom 28. März 2013 (Urk. 2/ 2/7/495) teilweise gut und reduzierte die geforderte Schadenersatzsumme auf Fr. 308'180.55.</w:t>
      </w:r>
    </w:p>
    <w:p>
      <w:r>
        <w:t>Die dagegen von X.___ erhobene Beschwerde (vgl. Urk. 2/ 2/7/496/ 4-31) hiess das Sozialversicherungsgericht mit Urteil vom 26. Juni 2014 (Urk. 2/ 2/7/500) in dem Sinne teilweise gut, dass der Einspracheentscheid vom 28. März 2013 aufgehoben und die Sache zwecks rechtsgenügender Substantiie rung des Schadens und gegebenenfalls zur Neuverfügung an die Ausgleichskasse zurückgewiesen wurde. Im Übrigen (Zusprechung einer Parteientschädigung für das Einspracheverfahren ) wurde die Beschwerde abgewiesen.</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unfähigkeit des Arbeitgebers nicht mehr im ordent lichen Verfahren nach Art. 14 ff. AHVG erhoben werden kön nen (BGE 123 V 12 E. 5b, 170 E. 2a, 121 III 382 E. 3bb, 113 V 256, 112 V 156 E. 2).</w:t>
      </w:r>
    </w:p>
    <w:p>
      <w:r>
        <w:rPr>
          <w:b/>
        </w:rPr>
        <w:t>E. 1.2.2</w:t>
      </w:r>
    </w:p>
    <w:p>
      <w:r>
        <w:t>In seinem Rückweisungsentscheid 9C_400/2020 vom 19. Oktober 2020 (Urk. 2/ 1) hielt das Bundesgericht fest, dass die streitgegenständliche Forderung nicht verjährt sei. An diese Rechtsauffassung ist das Sozialversicherungsgericht gebun den. 2.</w:t>
      </w:r>
    </w:p>
    <w:p>
      <w:r>
        <w:rPr>
          <w:b/>
        </w:rPr>
        <w:t>E. 1.3</w:t>
      </w:r>
    </w:p>
    <w:p>
      <w:r>
        <w:t>In der Folge erliess die Ausgleichskasse am 24. April 2015 einen Einspracheent scheid (Urk. 2/ 2/7/501) und verpflichtete darin X.___ erneut zur Bezahlung von Schadenersatz in der Höhe von Fr. 308‘180.55. Dagegen liess X.___ mit Eingabe vom 26. Mai 2015 Beschwerde führen (vgl. Urk. 2/ 2/7/504/4-36).</w:t>
      </w:r>
    </w:p>
    <w:p>
      <w:r>
        <w:t>Mit Beschluss vom 19. Dezember 2017 (Urk. 2/ 2/7/513) stellte das Sozialver siche rungsgericht fest, dass der Einspracheentscheid vom 24. April 2015 nichtig sei, und trat demzufolge mangels eines Anfechtungsobjekts nicht auf die Beschwerde ein. Die Ausgleichskasse wurde in Anbetracht des von ihr schuldhaft veranlassten Prozesses (Erlass eines nichtigen Einspracheentscheids ) zur Bezahlung einer Prozessentschädigung verpflichtet.</w:t>
      </w:r>
    </w:p>
    <w:p>
      <w:r>
        <w:rPr>
          <w:b/>
        </w:rPr>
        <w:t>E. 1.4</w:t>
      </w:r>
    </w:p>
    <w:p>
      <w:r>
        <w:t>Mit Verfügung vom 28. Mai 2018 (Urk. 2/ 2/7/514) verpflichtete die Ausgleichs kasse X.___ abermals zur Bezahlung von Schadenersatz in der Höhe von Fr. 308'108.55. Die dagegen am 28. Juni 2018 erhobene Einsprache (Urk. 2/ 2/7/517) wies die Ausgleichskasse mit Entscheid vom 24. Januar 2019 (Urk. 2/ 2/2 = 2/ 2/7/519) ab.</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Mit Urteil vom 11. Mai 2020 (Urk. 2/ 2/1 8 ) hob das Sozialversicherungsgericht den Einspracheentscheid vom 24. Januar 2019 (Urk. 2/ 2/2) ersatzlos auf (zufolge eingetretener Verjährung).</w:t>
      </w:r>
    </w:p>
    <w:p>
      <w:r>
        <w:t>Die dagegen von der Ausgleichskasse erhobene Beschwerde in öffentlich-rechtlichen Angelegenheiten (vgl. Urk. 2/ 2/ 20 ) hiess das Bundesgericht mit Urteil 9C_400/2020 vom 19. Oktober 2020 (Urk. 2/ 2/2 1 = Urk. 2/ 1) gut, hob den angefochtenen Entscheid auf und wies die Sache zu neuer Entscheidung an das Sozialver sicherungsgericht zurück. Das Bundesgericht erwog, dass die streit gegenständliche Forderung nicht verjährt sei.</w:t>
      </w:r>
    </w:p>
    <w:p>
      <w:r>
        <w:rPr>
          <w:b/>
        </w:rPr>
        <w:t>E. 2.2.1</w:t>
      </w:r>
    </w:p>
    <w:p>
      <w:r>
        <w:t>Die Beschwerdegegnerin stützte ihre Forderung gegen die Beschwerdeführerin im Wesentlichen auf die Jahresabrechnungen der Z.___ GmbH für die Jahre 2007 bis 2009 (Urk. 2/ 2/7/172, 2/ 2/7/283 und 2/ 2/7/354 ) und die Berichte des Revisors vom 4. November 2008 (Urk. 2/ 2/7/255; vgl. auch Urk. 2/ 2/7/254) und 4. März 2011 (Urk. 2/ 2/7/410 ). Des Weiteren liegen der Kontoauszug vom 18. November 2011 (Urk. 2/ 2/3/4 ), zahlreiche Mahnungen (vgl. etwa Urk. 2/ 2/7/192, 2/ 2/7/201-202, 2/ 2/7/206, 2/ 2/7/241-242, 2/ 2/7/256-257, 2/ 2/7/287-289, 2/ 2/7/298-301, 2/ 2/7/303, 2/ 2/7/310, 2/ 2/7/332, 2/ 2/7/335-336, 2/ 2/7/339-340, 2/ 2/7/343-346, 2/ 2/7/364-367, 2/ 2/7/375-376 und 2/ 2/7/379), Betreibungsbegehren (vgl. etwa Urk. 2/ 2/7/286, 2/ 2/7/302, 2/ 2/7/304, 2/ 2/7/333, 2/ 2/7/337, 2/ 2/7/341, 2/ 2/7/368 und 2/ 2/7/377), Zahlungs befehle (vgl. etwa Urk. 2/ 2/7/290, 2/ 2/7/306, 2/ 2/7/312-314, 2/ 2/7/338, 2/ 2/7/349-350 und 2/ 2/7/398-401) und Verzugszinsabrechnungen (vgl. etwa Urk. 2/ 2/7/260 und 2/ 2/7/269) bei den Akten (vgl. dazu auch die ents prechenden Buchungen in Urk. 2/ 2/3/4 ).</w:t>
      </w:r>
    </w:p>
    <w:p>
      <w:r>
        <w:t>Aus den Jahresabrechnungen 2007 (Urk.</w:t>
      </w:r>
    </w:p>
    <w:p>
      <w:r>
        <w:t>2/ 2/7/172), 2008 (Urk. 2/ 2/7/283) und 2009 (Urk. 2/ 2/7/354 ) sowie den Revisionsberichten vom 4. November 2008 (Urk. 2/ 2/7/254-255 ) und 4. März 2011 (Ur k. 2/ 2/7/410 ) geht hervor, dass die Z.___ GmbH in den Jahren 2007 bis 2009 (bis Ende Septem ber 2009) Lohnzahlungen von insgesamt Fr. 8‘731‘822.30 (= Fr. 4‘235‘173.-- + Fr. 447‘725.-- + Fr. 170‘984. -- + Fr. 2‘919‘176.35 + Fr. 7‘880. -- + Fr. 950‘883.95) ausgerichtet hat.</w:t>
      </w:r>
    </w:p>
    <w:p>
      <w:r>
        <w:rPr>
          <w:b/>
        </w:rPr>
        <w:t>E. 2.2.2</w:t>
      </w:r>
    </w:p>
    <w:p>
      <w:r>
        <w:t>Der von der Beschwerdeg egnerin zunächst mit Verfügung vom 17. Februar 2012 ( Urk. 2/ 2/7/476) geltend gemachte Ausstand von insgesamt Fr. 369‘948.15 resul tiert e aus der Gegenüberstellung der gemäss Kontoauszug und Beitragsübersicht g eschuldeten Sozialversicherungs beiträge zuzüglich Nebenkosten und der von der Z.___ GmbH geleisteten Zahlungen (vgl. das in Urk. 2/ 2/3/4 auf S. 24 handschriftlich durchgestrichene Gesamttotal ).</w:t>
      </w:r>
    </w:p>
    <w:p>
      <w:r>
        <w:t>Im weiteren Verlauf - zuletzt mit Verfügung vom 28. Mai 2018 (Urk. 2/ 2/7/514) sowie im angefochtenen Einspracheentscheid vom 24. Januar 2019 (Urk. 2/ 2/2 = 2/ 2/7/519) - reduzierte die Beschwerdegegnerin diese Forderungssumme auf Fr. 308‘180.5 5. Sie ber ücksichtigte dabei, dass die Be schwerdeführerin bereits mit Schreiben der Z.___ GmbH vom 17. Juni 2009 als Direktorin per Ende August 2009 gekündigt und sofort freigestellt worden war (Löschung im Handelsregis ter am 19. Oktober 2010 [Urk. 2/ 2/ 17 ]) und es ihr ab diesem Zeit punkt (zumindest faktisch) nicht mehr möglich war, für die Gesellschaft zu handeln; für die danach angefallenen Bei tragsausstände kommt eine Haftung der Beschwerdeführerin grundsätzlich nicht in Frage. Die Beschwerdegegnerin legte im Einsp racheentscheid vom 28. Mai 2018 (Urk. 2/ 2/7/514) im Einzelnen dar, um welche Positionen, für die eine Haftung der B e schwerdeführerin von vornherein ausgeschlossen ist, es sich dabei handelte (vgl. dazu die entsprechenden hand schriftlichen Korrekturen im Kontoauszug [Urk. 2/ 2/3/4 ]).</w:t>
      </w:r>
    </w:p>
    <w:p>
      <w:r>
        <w:rPr>
          <w:b/>
        </w:rPr>
        <w:t>E. 2.3</w:t>
      </w:r>
    </w:p>
    <w:p>
      <w:r>
        <w:t>Die Beschwerdeführerin liess die Schadensberechnung der Beschwerdegegnerin in masslicher Hinsicht i n diversen Punkten kritisieren (vgl. dazu Urk. 2/ 2/1 S. 17 ff. und Urk. 2/ 2/12 S. 3 f.). Sie liess insoweit namentlich ausführen (vgl. Urk. 2/ 2/1 S. 17), dass die Beschwerdegegnerin mit Schreiben vom 10. Februar 2012 (Urk. 2/ 2/7/464-474) die Verbuchung von diversen Gutschriften mitgeteilt habe, die sich aber zu Unrecht nicht auf die Höhe des geltend gemachten Schadenersatzes ausgewirkt hätten. Zudem liess die Beschwerdegegnerin geltend machen, dass die Beschwerdegegnerin eine Zahlung der Z.___ GmbH in der Höhe von Fr. 67'944.-- nicht verbucht habe, weshalb es unzulässig sei, diese Position durch eine Habenher -Buchung auszugleichen (vgl. Urk. 2/ 2/1 S. 20 f. und Urk. 2/ 2/12 S. 3). Schliesslich liess die Beschwerdeführerin die Buchungen der Beschwerde gegnerin in den Jahren 2008 und 2009 als unver ständlich qualifizieren; damit sei der von der Ausgleichskasse geltend gemachte und von der Beschwerdeführerin bestrittene Schaden nach wie vor nicht liquide (vgl. Urk. 2/ 2/1 S. 25 ff. und Urk. 2/ 12 S. 3 f.).</w:t>
      </w:r>
    </w:p>
    <w:p>
      <w:r>
        <w:t>Des Weiteren liess die Beschwerdeführerin hinsichtlich der Schadenshöhe vorbringen, dass sie bereits ab 16. März 2009 zufolge eines Burnouts arbeits unfähig geschrieben worden sei , aus gesundheitlichen Gründen ihre Aufgaben als Geschäftsführerin nicht mehr habe erfüllen können und deshalb von vornherein für den ab diesem Datum genannten Schaden nicht verantwortlich sei (Urk. 2/ 2/1 S. 18 ff.). Zudem treffe die Beschwerdegegnerin ein grobes Eigenverschulden, da sie geleistete Zahlungen in der Höhe von insgesamt Fr. 438'566.35 versehentlich zurückbezahlt habe (Urk. 2/ 2/1 S. 22 ff. und Urk. 2 /2 /12 S. 4 f.). Auf diese beiden Einwendungen, die zwar auch die Schadenshöhe betreffen, aber in erster Linie die Fragen einer konkreten Pflichtverletzung beziehungsweise des Kausalzusam menhangs und des Mitverschuldens der Ausgleichskasse, ist demzufolge gesondert in den entsprechenden Erwägungen (vgl. unten E. 6.1-6.3) einzugehen.</w:t>
      </w:r>
    </w:p>
    <w:p>
      <w:r>
        <w:rPr>
          <w:b/>
        </w:rPr>
        <w:t>E. 2.4</w:t>
      </w:r>
    </w:p>
    <w:p>
      <w:r>
        <w:t>Das damalige Eidgenössische Versicherungsgericht hielt in seinem Urteil H 301/00 vom 13. Februar 2002 zur Pflicht der Ausgleichskassen, die Schaden ersatzforderung im Prozess zu substanziieren, unter damals - vor Einführung des Bundesgesetzes über den Allgemeinen Teil des Sozialversicherungsrechts (ATSG) - gülti gem Recht (Klageverfahren) Folgendes fest (E. 2c, vgl. auch das gleichentags ergangene Urteil H 438/00 sowie das Urteil des Bundesgerichts 9C_901/2008 vom 8. Juli 2009 E. 4.1): « Der Schadenersatzprozess gemäss Art. 81 AHVV ist vom Unter suchungsgrundsatz beherrscht (Art. 81 Abs. 3 AHVV in Verbindung mit Art. 85 Abs. 2 lit . c AHVG), welcher besagt, dass der Richter von Amtes wegen für die richtige und vollständige Abklärung des rechts erheblichen Sachverhaltes zu sorgen hat (vgl. BGE 108 V 197 Erw . 5). Der Untersuchungsgrundsatz gilt aber nicht uneinge schränkt, sondern wird durch die verschiedenen Mitwirkungs pflichten der Parteien ergänzt (BGE 122 V 158 Erw . 1a mit Hin weisen). Dazu gehört auch die Substanziierungspflicht , welche be sagt, dass die wesentlichen Tatsachenbehauptungen und bestreitungen in den Rechtsschriften enthalten sein müssen ( Gygi , Bundesverwaltungs rechtspflege, 2. Aufl., Bern 1983, S. 208). Für die Ausgleichskasse bedeutet dies, die Schadenersatzforderung soweit zu substanziieren, dass sie überprüft werden kann. Dabei sind zwei Aspekte zu unterscheiden. Einerseits hat die Ausgleichs kasse den eingeklagten Forderungsbetrag zeitlich und masslich zu spezifi zieren, also gestützt auf eine Beitragsübersicht zu behaupten, wie sich der eingeklagte Betrag zusammensetzt. Mit Blick auf das Verhältnis zwischen Untersuchungsgrundsatz und Mitwirkungs pflicht genügt ein blosser Verweis in der Klage auf die Beitrags über sicht nur bei Evidenz, wenn also der Gesamtbetrag ohne wei teres aus der beigelegten Beitragsübersicht ersichtlich ist. Ist in dessen nicht offensichtlich erkennbar, wie sich der Forderungsbe trag zusammen setzt, sei es wegen widersprüchlicher Saldi, unter schiedlich datierter Buchungen, schwankender Beiträge, Stornie rungen oder Verrech nungen (z.B. mit FAK-Guthaben), ist es nicht Sache des angerufenen Gerichtes, selbst in EDV-Ausdrucken und Abrechnungen nach denjenigen Positionen zu forschen, welche für die Schadenshöhe von Belang sind, und zu eruieren, wie der For derungsbetrag doch ermittelt werden könnte. Vielmehr hat die Ausgleichskasse im Rahmen ihrer Mitwirkungspflicht durch erläu ternde Bezugnahme auf die Beitragsübersicht und andere von ihr eingereichte Akten darzutun, wie und gestützt worauf sie den For derungsbetrag ermittelt hat. Andererseits gehört zur Substanziierungspflicht auch, den einge klagten Forderungsbetrag oder Teile davon zu belegen, also durch Einreichung von Lohnabrechnungen, Nachzahlungs- oder Veranla gungsverfügungen die in der Beitragsübersicht enthaltenen Zah lungsvorgänge zu beweisen. Dies ist allerdings nur erforderlich, wenn die Forderung in der kantonalen Klageantwort masslich mit konkreten, nicht ohne weiteres widerlegbaren Einwendungen be stritten wird oder sich auf Grund der Akten greifbare Anhalts punkte für Unrichtigkeiten ergeben. »</w:t>
      </w:r>
    </w:p>
    <w:p>
      <w:r>
        <w:rPr>
          <w:b/>
        </w:rPr>
        <w:t>E. 2.5</w:t>
      </w:r>
    </w:p>
    <w:p>
      <w:r>
        <w:t>Angesichts dieser höchstrichterlichen Praxis bedarf es keiner weiteren Ausfüh rungen, dass die Darstellung und Behauptung sowie der Nachweis des Schadensquantitativs durch die Beschwerdegegnerin nicht dergestalt ist, dass von einer «Evidenz» im eigentlichen Sinne gesprochen werden könnte. Vielmehr ist die Schadenssubstantiierung der Beschwerdegegnerin unübersichtlich und nur schwer nachvollziehbar; selbsterklärend oder gar evident ist sie jedenfalls nicht.</w:t>
      </w:r>
    </w:p>
    <w:p>
      <w:r>
        <w:t>Trotzdem hat es die Beschwerdegegnerin im angefochtenen Einspracheentscheid (Urk. 2/ 2/2), der Beschwerdeantwort (Urk. 2/ 2/6) und der Duplik (Urk. 2/ 2/15) letztlich geschafft, die von der Beschwerdeführerin erhobenen Einwendungen betreffend Schadenshöhe zu entkräften und die geforderte Schadenersatzsumme in diesem Sinne plausibel darzulegen. Die Beschwerdegegnerin führte insoweit aus, dass es sich bei den von der Beschwerdeführerin genannten Gutschriften lediglich um Gutschriften infolge Ausbuchung beziehungsweise Abschreibung der damals offenen Beiträge gehandelt habe. Aufgrund der Abschreibung habe sich (rein) systembedingt eine «Gutschrift» ergeben; die abgeschriebenen Beiträge seien aber umgehend als Schadenersatz belastet worden (Urk. 2/ 2/2 S. 2). Auch bezüglich der Buchung von Fr. 67'944.-- stellte die Beschwerdegegnerin klar, dass die Z.___ GmbH diesen Betrag niemals bezahlt habe. Diese Position sei ledig lich als Folge einer Lohnsummenkorrektur für das Jahr 2007 ausgeglichen worden; der Betrag sei nicht bezahlt worden (Urk. 2/ 2/2 S. 3). Auch bezüglich der Lohnsumme 2007, die nachträglich korrigiert worden sei, erklärte die Beschwer degegnerin, dass keine offene Position in der Höhe von Fr. 67'944.-- bestehe. Es werde gestützt auf die entsprechende Position auch gar kein Schadenersatz mehr geltend gemacht (Urk. 2/ 2/6 S. 2; vgl. auch Urk. 2/ 15 S. 1).</w:t>
      </w:r>
    </w:p>
    <w:p>
      <w:r>
        <w:t>Die Schadensberechnung der Beschwerdegegnerin ist - wie ausgeführt - zwar nicht evident, erweist sich aber als ausreichend beweiskräftig. Demzufolge ist auf die Schadensberechnung der Ausgleichskasse abzustellen und vorliegend von einem relevanten Schadenersatzbetrag in der Höhe von Fr. 308‘180.55 auszuge hen.</w:t>
      </w:r>
    </w:p>
    <w:p>
      <w:r>
        <w:rPr>
          <w:b/>
        </w:rPr>
        <w:t>E. 3</w:t>
      </w:r>
    </w:p>
    <w:p>
      <w:r>
        <w:t>; Prozess Nr. AK.2020.00026) änderte das Sozialversicherungsgericht in teilweiser Gutheissung der Beschwerde den Einspracheentscheid vom 24. Januar 2019 insoweit ab, als X.___ verpflichtet wurde, der Ausgleichskasse Schadenersatz im Betrag von Fr. 154‘090.30 zu bezahlen .</w:t>
      </w:r>
    </w:p>
    <w:p>
      <w:r>
        <w:t>Die dagegen von X.___ erhobene Beschwerde in öffentlich-rechtlichen Angelegenheiten (Urk. 2/9) hiess das Bundesgericht mit Urteil 9C_434/2021 vom 29. Juni 2022 (Urk. 2/10) teilweise gut, hob das angefochtene Urteil des hiesigen Gerichts auf und wies die Sache zu neuer Entscheidung an dieses zurück . Das Bundesgericht erwog, dass das Sozialversicherungsgericht, indem es sich nicht zum Antrag betreffend Beiladung von Y.___ geäussert habe, den</w:t>
      </w:r>
    </w:p>
    <w:p>
      <w:r>
        <w:t>Anspruch</w:t>
      </w:r>
    </w:p>
    <w:p>
      <w:r>
        <w:t>von X.___ auf rechtliches Gehör verletzt habe , weshal b das Urteil aufzuheben sei.</w:t>
      </w:r>
    </w:p>
    <w:p>
      <w:r>
        <w:t>Ein von X.___ gestelltes und das bundesgerichtliche Urteil vom 29. Juni 2022 betreffendes Erläuterungs- und Berichtigungsgesuch (Urk. 2/11) wurde vom Bundesgericht mit Urteil 9G_1/2022 vom 25. Juli 2022 (Urk. 2/12) abgewiesen. Das Bundesgericht erwog, dass sich entgegen der im Erläuterungs- beziehungsweise Berichtigungsgesuch geäusserten Befürchtung aus dem Urteil vom 29. Juni 2022</w:t>
      </w:r>
    </w:p>
    <w:p>
      <w:r>
        <w:t>keinerlei Rückschlüsse auf die Erledigung der Angelegenheit in materiellrechtlicher Hinsicht ziehen liessen. Einer Berichtigung bedürfe es daher nicht.</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w:t>
      </w:r>
    </w:p>
    <w:p>
      <w:r>
        <w:rPr>
          <w:b/>
        </w:rPr>
        <w:t>E. 3.2</w:t>
      </w:r>
    </w:p>
    <w:p>
      <w:r>
        <w:t>Aus den Akten ist ersichtlich, dass die Z.___ GmbH den ihr als Arbeitgeberin obliegenden Zahlungsverpflichtun gen in den Jahren 2007 bis 2009 nicht ordnungsgemäss nach kam . Wie bereits ausgeführt wurde, richtete die Gesellschaft in den Jahren 2007 bis 2009 (bis Ende Septem ber 2009) Lohnzah lungen von insgesamt Fr. 8‘731‘822.30 aus, blieb der Beschwerdegegnerin aber vorliegend relevante Sozialversicherungsbeiträge (inklusive Nebenkosten) in der Höhe von Fr. 308‘180.55 schuldig (vgl. oben E. 2.2-2.5). Es bedarf keiner weiteren Ausführungen, dass die Z.___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der Beschwerdefüh rerin zurückzuführen ist.</w:t>
      </w:r>
    </w:p>
    <w:p>
      <w:r>
        <w:rPr>
          <w:b/>
        </w:rPr>
        <w:t>E. 4.1</w:t>
      </w:r>
    </w:p>
    <w:p>
      <w:r>
        <w:t>Die wesentliche Voraussetzung für die Schadenersatz pflicht besteht nach dem Wortlaut des Art. 52 AHVG darin, dass der Arbeitgeber absichtlich oder grob fahrlässig Vor 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vorsätz licher Missachtung der AHV Vorschriften der Ausgleichskasse einen Schaden zufügt, aber trotzdem nicht schadenersatz pflichtig wird, wenn besondere Umstände die Nichtbefolgung der einschlägigen Vorschriften als erlaubt oder nicht schuldhaft erscheinen lassen (BGE 108 V 183 E. 1b; ZAK 1985 S. 576 E. 2). 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w:t>
      </w:r>
    </w:p>
    <w:p>
      <w:r>
        <w:rPr>
          <w:b/>
        </w:rPr>
        <w:t>E.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 nen an, so ist für jede von ihnen einzeln zu prüfen, ob sie am Schaden der Au s gleichskasse ein Verschulden trifft. Obliegt die Ge schäftsführung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w:t>
      </w:r>
    </w:p>
    <w:p>
      <w:r>
        <w:rPr>
          <w:b/>
        </w:rPr>
        <w:t>E.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 ff.).</w:t>
      </w:r>
    </w:p>
    <w:p>
      <w:r>
        <w:rPr>
          <w:b/>
        </w:rPr>
        <w:t>E. 5.1.1</w:t>
      </w:r>
    </w:p>
    <w:p>
      <w:r>
        <w:t>Die Beschwerdeführerin liess zu ihrer Entlastung im Wesentlichen vorbringen (Urk. 2/ 2/1), sie sei stets dafür besorgt gewesen, dass die eingehenden Rechnun gen der Beschwerdegegnerin bezahlt würden. Ihre Macht sei aber begrenzt gewesen, da sie nur über die Autorisationsstufe 1 verfügt habe und die Zahlungen nicht habe selber auslösen können. Bei Mahnungen der Beschwerdegegnerin habe sie jeweils Kontakt mit der Tochtergesellschaft in Holland und den V erantwort lichen in London au f genommen. Sie habe Letztere auf die Wichtigkeit der rechtzeitigen Zahlungen hingewiesen (S. 9). Sie habe darauf vertrauen dürfen, dass die Zahlungen rechtzeitig ausgelöst würden. Die Beschwer deführerin habe auf die Geldmittel der Z.___ GmbH keinen Zugriff gehabt (S. 10). Sie habe sich mit vollem Einsatz ihrer Arbeit bei der Z.___ GmbH gewidmet; dabei sei ihre Arbeitsbelastung so gross geworden, dass sich ihr Gesundheitszustand zusehends verschlechtert habe. Als ihr am 12. oder 13. März 2009 die Kündigung per Ende Juni 2009 in Aussicht gestellt worden sei, sei sie vollends zusammengebrochen. Sie habe ein Burnout erlitten. Deshalb sei sie ab dem 16. März 2009 zu 100 % arbeitsunfähig geschrieben worden - ab dem 11. Juni 2009 noch zu 50 % (S. 11). Weiter liess die Beschwerdeführerin geltend machen, dass in der versehentlichen Rückzahlung von insgesamt Fr. 438'566.35 klarerweise ein grobes Eigenverschulden der Ausgleichskasse liege. Bei pflicht gemässer Vorsicht wäre dies vermeidbar gewesen (S. 22 f.; vgl. auch Urk. 2/2/ 12 S. 4 f.).</w:t>
      </w:r>
    </w:p>
    <w:p>
      <w:r>
        <w:rPr>
          <w:b/>
        </w:rPr>
        <w:t>E. 5.1.2</w:t>
      </w:r>
    </w:p>
    <w:p>
      <w:r>
        <w:t>Der Beigeladene liess sich - wie bereits oben ausgeführt - binnen angesetzter Frist (vgl. Urk. 5 und 6) nicht vernehmen. Er brachte somit weder etwas zu seiner Verteidigung vor, noch machte er der Beschwerdeführerin irgendwelche Vorwürfe. Er äusserte sich in keiner lei Hinsicht.</w:t>
      </w:r>
    </w:p>
    <w:p>
      <w:r>
        <w:rPr>
          <w:b/>
        </w:rPr>
        <w:t>E. 5.2.1</w:t>
      </w:r>
    </w:p>
    <w:p>
      <w:r>
        <w:t>Die Beschwerdeführerin war einzige und einzelzeichnungsberechtigte Geschäfts führerin der Z.___ GmbH (Urk. 2/ 2/17), einem kleinen Unter nehmen mit einfacher Verwaltungsstruktur und nur relativ wenigen Angestellten (vgl. Urk.</w:t>
      </w:r>
    </w:p>
    <w:p>
      <w:r>
        <w:t>2/ 2/7/172, 2/ 2/7/283 und 2/ 2/7/354 ) . Obwohl die Gesellschaft Teil eines interna tionalen Unternehmenskonstrukts war, waren die (allein massgeblichen) Verhältnisse in Bezug auf die Z.___ GmbH relativ einfach. Bei derart leicht überschaubaren Verhältnissen muss jedenfalls von einer Geschäfts führerin einer Gesellschaft mit beschränkter Haftung verlangt werden, dass sie den Überblick über alle wesentlichen Belange des Unternehmens hat.</w:t>
      </w:r>
    </w:p>
    <w:p>
      <w:r>
        <w:t>Bei einfachen und überschaubaren Verhältnissen werden praxisgemäss erhöhte Anforderungen an Kenntnis und Erledigung von Abrechnungs- und Zahlungs verkehr mit der Ausgleichskasse gestellt. Gemäss Art. 812 Abs. 1 OR sind die Geschäftsführer sowie Dritte, die mit der Geschäftsfüh rung befasst sind, verpflichtet, ihre Aufgabe mit aller Sorgfalt zu erfüllen und die Interessen der Gesellschaft in guten Treuen zu wahren. Art. 810 Abs. 2 OR enthält sodann einen - im Wesentlichen der aktienrechtlichen Bestimmung von Art. 716a Abs. 1 OR entsprechenden - Katalog unübertragbarer und unentzieh barer Aufga ben. So obliegt den Geschäftsführern insbesondere die Oberleitung der Gesell schaft und die Erteilung der nötigen Weisungen (Ziffer 1), die Ausge staltung des Rechnungs wesens, der Finanzkontrolle sowie der Finanzplanung (Ziffer 3) und die Aufsicht über die Personen, denen Teile der Geschäftsführung übertragen sind, namentlich im Hinblick auf die Befolgung der Gesetze, Statuten, Reglemente und Weisungen (Ziffer 4). Das Gesetz verbietet zwar nicht die Vor nahme einer be stimmten Arbeits- und Kompetenzaufteilung, doch die Überwa chungs - und Kon trollpflich ten v erbleiben auch dann bei der (Ge samt) Geschäftsführung bezie hungsweise sämtlichen Geschäftsführern. Deshalb hat sich jedes Mitglied der Ge schäftsfüh rung einer Gesellschaft mit beschränkter Haftung periodisch über den Geschäfts gang und die wichtigsten Geschäfte, wel che nicht zu seinem primären Aufgaben bereich gehören, zu orientieren, Rapporte zu verlangen, diese sorgfältig zu studieren und nötigenfalls ergän zende Auskünfte einzuholen, Irrtümer abzu klä ren und bei Unregelmässigkeiten einzugreifen. Die Rechtslage ist insoweit nicht anders als bei einer Aktienge sellschaft (vgl. hierzu BGE 114 V 223 E. 4a; vgl. dazu auch E. 5.2.3).</w:t>
      </w:r>
    </w:p>
    <w:p>
      <w:r>
        <w:t>Aus dem Gesagten folgt, dass sich die Beschwerdeführerin nicht allein mit dem Hinweis, dass sie für die Zahlungen an die Beschwerdegegnerin nicht zuständig gewesen sei und auch nicht die Kompetenz beziehungsweise die notwendige Autorisierungsstufe zur Auslösung der Zahlungen gehabt habe, entlasten kann. Wer in der Geschäftsführung einer schweizerischen GmbH Einsitz nimmt, muss dafür besorgt sein, dass er die gesetzlichen Pflichten erfüllen kann. Geschäfts führungsmitglieder dürfen sich insbesondere nicht in eine Position bringen, in der es ihnen faktisch unmöglich ist ihre Pflichten zu erfüllen, weil sie daran durch Drittpersonen, die die Gesellschaft wirtschaftlich oder faktisch beherrschen, gehindert werden. Wer ein solches Amt trotzdem übernimmt, haftet grundsätzlich für den entstandenen Schaden; es handelt sich um einen Fall eines Übernahme verschuldens. Der Umstand, dass die Beschwerdeführerin für die Z.___ GmbH keine Zahlungen an die Beschwerdegegnerin auslösen konnte, gereicht ihr demzufolge nicht zur Entlastung, sondern begründet viel mehr ihr Verschulden.</w:t>
      </w:r>
    </w:p>
    <w:p>
      <w:r>
        <w:rPr>
          <w:b/>
        </w:rPr>
        <w:t>E. 5.2.2</w:t>
      </w:r>
    </w:p>
    <w:p>
      <w:r>
        <w:t>Auch der Einwand der Beschwerdeführerin, wonach sie seit dem 16. März 2009 arbeitsunfähig gewesen sei, kann sie nicht entlasten. Wie oben dargelegt wurde, richten sich die Anforderungen an Geschäftsführerinnen von Gesellschaften mit beschränkter Haftung wie auch an Verwaltungsräte von Aktiengesellschaften oder anderen Organpersonen nach einem strikt objektiven Massstab, weshalb rein subjektive Aspekte wie mangelnde Geschäftserfahrung, Unkenntnis der gesetz lichen Bestimmungen, Überforderung oder gesundheitliche Probleme grundsätz lich nicht zur Entlastung gereichen. Festzuhalten ist allerdings, dass eine Haftung nach Art. 52 AHVG - wie jede Verschuldenshaftung - grundsätzlich Urteilsfähig keit voraussetzt (vgl. Art. 54 OR e contrario).</w:t>
      </w:r>
    </w:p>
    <w:p>
      <w:r>
        <w:t>Eine Urteilsunfähigkeit steht im vorliegenden Kontext nicht zur Debatte. Die Beschwerdegegnerin hätte sich vielmehr, wenn sie sich aus gesundheitlichen Gründen nicht mehr dazu imstande gesehen hätte, ihre gesetzlichen Pflichten zu erfüllen, sofort als Geschäftsführungsmitglied im Handelsregister löschen lassen müssen.</w:t>
      </w:r>
    </w:p>
    <w:p>
      <w:r>
        <w:rPr>
          <w:b/>
        </w:rPr>
        <w:t>E. 5.2.3</w:t>
      </w:r>
    </w:p>
    <w:p>
      <w:r>
        <w:t>Die Beschwerdeführerin muss sich demnach den Vorhalt gefallen lassen, dass die Z.___ GmbH der Beschwerdegegnerin vorliegend relevante Sozialversicherungsbeiträge (inklusive Nebenkosten) in der Höhe von Fr. 308‘180.55 schuldig blieb, in den Jahren 2007 bis 2009 (bis Ende Septem ber 2009) aber Lohnzahlungen von insgesamt Fr. 8‘731‘822.30 ausrichtete (vgl. oben E. 2.2-2.5). Mit anderen Worten räumte die Z.___ GmbH den Lohnzahlungen Priorität vor der B eitragsentrichtung ein. Indem die Beschwerde führerin nicht gegen diese Praxis der Z.___ GmbH einschritt beziehungsweise in der Position einer Geschäftsführerin ausharrte, in der es ihr - nach eigenen Angaben - letztlich nicht möglich war, für die korrekte Beitrags entrichtung zu sorgen, verletzte sie ihre öffentlichrechtlichen Pflichten als Geschäftsführerin einer Gesellschaft mit beschränkter Haftung. Sie hätte nämlich dafür sorgen müssen, dass die Gesellschaft nur Löhne ausrichtet, für die sie auch die entsprechenden Sozialversicherungsbeiträge zu leisten imstande ist (für viele etwa: Urteil des damaligen Eidgenössischen Versicherungs gerichts H 26/06 vom 10. April 2006 E. 4.3 mit Hinweis).</w:t>
      </w:r>
    </w:p>
    <w:p>
      <w:r>
        <w:rPr>
          <w:b/>
        </w:rPr>
        <w:t>E. 5.3</w:t>
      </w:r>
    </w:p>
    <w:p>
      <w:r>
        <w:t>Rechtfertigungs- oder Schuldausschlussgründe liegen nicht vor.</w:t>
      </w:r>
    </w:p>
    <w:p>
      <w:r>
        <w:rPr>
          <w:b/>
        </w:rPr>
        <w:t>E. 6.1</w:t>
      </w:r>
    </w:p>
    <w:p>
      <w:r>
        <w:t>Zu prüfen bleibt das Vorbringen der Beschwerdeführerin, wonach die Beschwer de gegnerin ein grobes Selbstverschulden am Eintritt des Schadens treffe, weil gar kein Schaden entstanden wäre, hätte die Beschwerdegegnerin nicht versehentlich und grobfahrlässig eine Rückzahlung von insgesamt Fr. 438'566.35 an die Z.___ GmbH veranlasst (vgl. Urk. 2/ 2/1 S. 22 ff.). Damit liess die Beschwerdeführerin geltend machen, dass der Beschwerdegegnerin ein Selbst- oder Mitve rschulden vorzuwerfen sei , das in sinngemässer Anwen dung von Art. 44 Abs. 1 OR eine Herabsetzung der streitgegenstä ndlichen Forderung recht fertige</w:t>
      </w:r>
    </w:p>
    <w:p>
      <w:r>
        <w:t>oder eine gänzliche Entbindung von der Schadenersatzpflicht zur Folge habe ( vgl. auch BGE 122 V 185) .</w:t>
      </w:r>
    </w:p>
    <w:p>
      <w:r>
        <w:rPr>
          <w:b/>
        </w:rPr>
        <w:t>E. 6.2</w:t>
      </w:r>
    </w:p>
    <w:p>
      <w:r>
        <w:t>Die Beschwerdegegnerin anerkennt im angefochtenen Einspracheentscheid , dass sie der Z.___ GmbH am 9. Mai 2009 (richtig: 2008; Urk. 2/3/4 S. 16) Fr. 403'721.65 und am 22. Mai 2009 (richtig: 2008, Urk. 2/3/4 S. 14) Fr. 34'844.70, mithin insgesamt Fr. 438'566.35, zurückbezahlt hat. Sie bestritt aber, dass sie deshalb ein Mitverschulden treffe, denn die Beschwerdeführerin habe ja sofort gemerkt, dass es sich um einen Fehler gehandelt habe. Zudem habe man alles wieder korrigiert, indem man berei ts am 30. Mai 2008 (Urk. 2/3/4 S. 16) eine neue Rechnung ausgestellt habe. Dass das Geld nicht mehr habe zurücküber wiesen werden können, sei der unvorteilhaften Aufteilung der Finanzverwaltung zwischen der Z.___ GmbH und deren «Mutterhaus» geschuldet (Urk. 2/ 2/2 S. 6 f.; vgl. auch Urk. 2/ 15).</w:t>
      </w:r>
    </w:p>
    <w:p>
      <w:r>
        <w:rPr>
          <w:b/>
        </w:rPr>
        <w:t>E. 6.3.1</w:t>
      </w:r>
    </w:p>
    <w:p>
      <w:r>
        <w:t>Bereits im Beschluss vom 19. Dezember 2017 (Prozess Nr. AK.2015.00024 [Urk. 2/ 2/7/513]) führte das Sozialversicherungsgericht betreffend Selbstver schul den Folgendes aus (E. 2.3 [Die Zitate beziehen sich auf die damalige Akten lage.]): Hinzu kommt, dass - wie die Beschwerdeführerin zu Recht geltend machen liess (vgl. Urk. 1 S. 23 f.) und die Beschwerdegegnerin grund sätzlich bestätigte (vgl. Urk. 2 S. 7) – die Beschwerdegegnerin der Z.___ GmbH Rückzahlungen in der Höhe von Fr. 403‘721.65 und Fr. 34‘844.70 machte (vgl. auch Urk. 8/510 Posi tionen 2008 0000 und 2008 0007). Soweit die Beschwerdegegnerin die Auffassung vertrat, dass ihr insoweit kein erhebliches Mitverschulden an der Entstehung eines Schadens angelastet werden könne (vgl. Urk. 2 S. 7), kann ihr nicht gefolgt werden. Es ist kein Grund ersichtlich, weshalb die Beschwerdegegnerin die genannten Rücküberweisungen getätigt hat. Nur schon angesichts der Höhe der genannten Beträge war die Vorgehensweise der Beschwerdegegnerin nicht nur nicht nachvoll ziehbar, sondern sie erscheint auch grob fahrlässig. Soweit sich das aufgrund der nicht nachvollziehbaren Scha densberechnung überhaupt feststellen lässt, wäre ein Schaden ohne das pflichtwidrige Verhalten der Beschwerdegegnerin wohl nicht entstanden beziehungsweise sehr viel geringer ausgefallen. In diesem Licht betrachtet müsste ein - nach Lage der Akten vorstellbares - Verschulden der Beschwerdeführerin hinter dasjenige der Beschwerdegegnerin zurücktreten.</w:t>
      </w:r>
    </w:p>
    <w:p>
      <w:r>
        <w:rPr>
          <w:b/>
        </w:rPr>
        <w:t>E. 6.3.2</w:t>
      </w:r>
    </w:p>
    <w:p>
      <w:r>
        <w:t>An dieser Sichtweise ist grundsätzlich festzuhalten. Die Beschwerde gegnerin handelte schlechterdings grobfahrlässig, als sie ohne irgend einen Grund der Z.___</w:t>
      </w:r>
    </w:p>
    <w:p>
      <w:r>
        <w:t>GmbH insgesamt fast eine halbe Million Franken bezahlte.</w:t>
      </w:r>
    </w:p>
    <w:p>
      <w:r>
        <w:t>Zutreffend ist indes, dass die Aufteilung der Finanzkompetenzen zwischen der Z.___ GmbH und deren «Mutterhaus» der Beschwerdeführerin zum Verschulden gereicht. Sie bemühte sich zwar um Rückerstattung der offenkundig irrtümlich erhaltenen Gelder, das Mutterhaus kam diesem Wunsch indes nicht nach. Dass sie sich auf eine solche Organisationsform einliess, in der sie verant wortlich für die Geschicke der Unternehmung war, jedoch nur eingeschränkte Kompetenzen hatte, hat nicht die Beschwerdegegnerin zu vertreten. Als Geschäftsführerin lag es an ihr, für die Bezahlung der Beiträge besorgt zu sein, diese Verantwortung konnte sie nicht ans ausländische Mutterhaus delegieren.</w:t>
      </w:r>
    </w:p>
    <w:p>
      <w:r>
        <w:rPr>
          <w:b/>
        </w:rPr>
        <w:t>E. 6.3.3</w:t>
      </w:r>
    </w:p>
    <w:p>
      <w:r>
        <w:t>In Bezug auf die Kausalität ergibt sich, dass diese durch die Rückzahlung eines Betrages, welcher die gesamte Schadenssumme übersteigt, zum Teil durchbrochen wurde. Hätte die Beschwerdegegnerin den Betrag nicht zurückbezahlt, wäre ihr kein Schaden erwachsen. Dies jedenfalls insoweit, als die Z.___ GmbH ihre weiteren Zahlungen unverändert geleistet hätte. Indessen hat sich die Beschwerdegegnerin unmittelbar im Anschluss bei der Unternehmung gemeldet und eine neue Rechnung gestellt. Die Beschwerdeführerin liess in Folge bis zu ihrem Austritt über ein Jahr verstreichen, ohne die Beiträge wieder einzuzahlen. Im Oktober und November 2008 sowie im August 2009 folgten noch Zahlungen von knapp Fr. 250'000.-- (Urk. 2/3/4 S. 16) und bis im November 2008 wurden auch Akontozahlung geleistet (Urk. 2/3/4 S. 16 ff.). Ein grosser Teil der Schuld blieb jedoch unbezahlt, wofür die Unterlassungen der Beschwerdeführerin eben falls kausal sind.</w:t>
      </w:r>
    </w:p>
    <w:p>
      <w:r>
        <w:rPr>
          <w:b/>
        </w:rPr>
        <w:t>E. 6.3.4</w:t>
      </w:r>
    </w:p>
    <w:p>
      <w:r>
        <w:t>Nach der Rechtsprechung ist in Konstellationen wie der vorliegenden (mit Rück zahlung von Beiträgen in der Höhe der Schadenssumme) die Schadenersatz summe auf die Hälfte herabzusetzen (Urteil des damaligen eidgenössischen Versicherungsgerichts H 36/02 und H 38/02 vom 10. Oktober 2002 E. 8.2). Dies rechtfertigt sich auch in der vorliegenden Konstellation, erscheint die Kausalität durch die Handlungen der Parteien als zu gleichen Teilen gegeben.</w:t>
      </w:r>
    </w:p>
    <w:p>
      <w:r>
        <w:rPr>
          <w:b/>
        </w:rPr>
        <w:t>E. 7</w:t>
      </w:r>
    </w:p>
    <w:p>
      <w:r>
        <w:t>Aus dem Gesagten folgt, dass die Beschwerde vom 25. Februar 2019 (Urk. 2/ 2/1) teilweise gutzuheissen ist mit der Feststellung, dass die Beschwerdeführerin Schadenersatz in der Höhe von Fr. 154'090.30 zu leisten hat.</w:t>
      </w:r>
    </w:p>
    <w:p>
      <w:r>
        <w:rPr>
          <w:b/>
        </w:rPr>
        <w:t>E. 8</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Demzufolge ist die Beschwerdegegnerin zu verpflich ten, der Beschwerdeführerin eine um die Hälfte gekürzte Prozessentschädi gung in der Höhe von Fr. 1’500.-- (inklusive Barauslagen und Mehrwertsteuer) zu bezahlen. Das Gericht erkennt: 1.</w:t>
      </w:r>
    </w:p>
    <w:p>
      <w:r>
        <w:t>In teilweiser Gutheissung der Beschwerde wird der Einspracheentscheid vom 2 4. Januar 2019 insoweit abgeändert, als d i e Beschwerdeführer in verpflichtet wird, der Sozialver sicherungsanstalt des Kantons Zürich, Ausgleichskasse, Schadenersatz im Betrag von Fr. 154‘090.30 zu bezahlen. 2.</w:t>
      </w:r>
    </w:p>
    <w:p>
      <w:r>
        <w:t>Das Verfahren ist kostenlos. 3.</w:t>
      </w:r>
    </w:p>
    <w:p>
      <w:r>
        <w:t>Die Beschwerdegegnerin wird verpflichtet, der Beschwerdeführerin eine Prozessent schädigung von Fr. 1’500.-- (inklusive Barauslagen und Mehrwertsteuer ) zu bezahlen. 4.</w:t>
      </w:r>
    </w:p>
    <w:p>
      <w:r>
        <w:t>Zustellung gegen Empfangsschein an: - Rechtsanwalt Jürg Maron - Sozialversicherungsanstalt des Kantons Zürich, Ausgleichskasse -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