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AK.2022.00019 vom 21. März 2023</w:t>
      </w:r>
    </w:p>
    <w:p>
      <w:r>
        <w:t>ZH Sozialversicherungsgericht, 2023-03-21, DE</w:t>
      </w:r>
    </w:p>
    <w:p>
      <w:r>
        <w:rPr>
          <w:b/>
        </w:rPr>
        <w:t xml:space="preserve">Quelle: </w:t>
      </w:r>
      <w:r>
        <w:t>https://mcp.opencaselaw.ch/entscheid/zh_sozialversicherungsgericht_AK.2022.00019</w:t>
      </w:r>
    </w:p>
    <w:p>
      <w:r>
        <w:t>FR: ZH_SOZIALVERSICHERUNGSGERICHT AK.2022.00019 du 21 mars 2023</w:t>
      </w:r>
    </w:p>
    <w:p>
      <w:r>
        <w:t>IT: ZH_SOZIALVERSICHERUNGSGERICHT AK.2022.00019 del 21 marzo 2023</w:t>
      </w:r>
    </w:p>
    <w:p>
      <w:pPr>
        <w:pStyle w:val="Heading2"/>
      </w:pPr>
      <w:r>
        <w:t>Erwägungen</w:t>
      </w:r>
    </w:p>
    <w:p>
      <w:r>
        <w:rPr>
          <w:b/>
        </w:rPr>
        <w:t>E. 1.1</w:t>
      </w:r>
    </w:p>
    <w:p>
      <w:r>
        <w:t>Nach Art. 52 Abs. 1 des Bundesgesetzes über die Alters- und Hinterlassenenver sicherung (AHVG) hat ein Arbeitgeber, der durch absichtliche oder grobfahrläs 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Familienausgleichskassen (FAK) gemäss dem Bundesgesetz über die Familienzu lagen (Art. 25 lit . c FamZG ).</w:t>
      </w:r>
    </w:p>
    <w:p>
      <w:r>
        <w:rPr>
          <w:b/>
        </w:rPr>
        <w:t>E. 1.2</w:t>
      </w:r>
    </w:p>
    <w:p>
      <w:r>
        <w:t>4</w:t>
      </w:r>
    </w:p>
    <w:p>
      <w:r>
        <w:t>Im Konkurs der Y.___ wurden der Kollokationsplan und das Inventar am 26. Juni 2018 zur Einsicht aufgelegt (vgl. Urk. 7/348). Am 19. Juli 2018 teilte das Konkursamt Winterthur-Altstadt der Beschwerdegegnerin, nachdem sich diese schriftlich über die geschätzte Höhe ihrer Konkursdividende erkundigt hatte ( vgl.</w:t>
      </w:r>
    </w:p>
    <w:p>
      <w:r>
        <w:t>Urk. 7/350), mit, dass (von der Beschwerdegegnerin) keine entsprechende Forde rung angemeldet worden sei (Urk. 19). Damit war vermutlich bei der Beschwer degegnerin, die offensichtlich auf eine Einsicht in den Kollokationsplan verzichtet hatte, der Eindruck entstanden , dass sie im Konkurs der Y.___ nichts erhalten würde. Die zweijährige Verjährungsfrist von altArt . 52 Abs. 3 AHVG wurde allerdings bereits am 6. Juli 2018 in Gang gesetzt, als die zehntägige Frist zur Einsichtnahme in den Kollokationsplan ablief (BGE 121 V 234) . Mit dem Erlass der Schadenersatzverfügung vom 22. August 2019 (Urk. 7/376) wahrte die Beschwerdegegnerin diese Frist. Auch in der Folge wurde die zwei- beziehungs weise (ab 1. Januar 2020) dreijährige Verjährungsfrist stets rechtzeitig unterbro chen. Die streitgegenständliche Forderung ist somit nicht verjährt.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 2.2 2.2.1</w:t>
      </w:r>
    </w:p>
    <w:p>
      <w:r>
        <w:t>Die Beschwerdegegnerin stützte ihre Forderung gegen den Beschwerdeführer im Wesentlichen auf den Kontoauszug vom 21. August 2019 (Urk. 7/37 5 ), der einen Saldo zugunsten der Beschwerdegegnerin in der Höhe von Fr. 46'793.85 ausweist. Im Übrigen erläuterte die Beschwerdegegnerin im angefochtenen Einspracheent scheid die Zusammensetzung der von ihr geltend gemachten Schadenersatzfor derung (vgl. Urk. 2 S. 2 f. E. 3): Der geltend gemachte Schaden setze sich zusam men aus den offenen</w:t>
      </w:r>
    </w:p>
    <w:p>
      <w:r>
        <w:t>Akontobeiträge n sowie den definitiven Beiträgen für die Jahre 2014, 2016 und 2017 in der Höhe von Fr. 7'960. , Fr. 20'984.60 und Fr. 17'848.70, mithin insgesamt Fr. 46'7 93.3 0.</w:t>
      </w:r>
    </w:p>
    <w:p>
      <w:r>
        <w:t>Weiter führte die Beschwerdegegnerin aus, dass der «ESR Rechnung vom 20. November 2018 zu entnehmen» sei, dass sie «sämtliche Einzahlungen vom Betreibungsamt im Umfang von CHF 30'790.00 berücksichtigt» habe (Urk. 2 S. 3 E. 3). Tatsächlich findet sich in den Akten eine Rechnung vom 20. November 2018 (Urk. 7/364), die die Position «Rückzahlung Giro (ev. manueller Storno)» und den Wert « 30'790.00» aufweist. Ob es dabei um eine Zahlung des Betreibungsamtes handelte, ist nicht ersichtlich; der verwendete Ausdruck «Rückzah lung» spricht jedenfalls nicht zwingend dafür. Im Übrigen ist aus dem Betrei bungsregister des Betreibungsamtes Winterthur-Stadt (vgl. Urk. 3/5) zwar ersicht lich, dass die Beschwerdegegnerin in den Jahren 2009 bis 2017 zahlreiche Zahlungen erhalten hat, eine Zahlung von Fr. 30'790. war allerdings ni cht dabei. Und d er</w:t>
      </w:r>
    </w:p>
    <w:p>
      <w:r>
        <w:t>Gesamtbetrag der einzelnen Zahlungen überstieg den von der Beschwerdegegnerin genannten Betrag erheblich , und zwar auch in den fragli chen Jahren 2014, 2016 und 201 7. Allein im Jahr 2017 wurden sieben Zahlungen der Y.___ (an das Betreibungsamt zugunsten der Beschwerdegegnerin) im Betreibungsregister im Gesamtumfang von Fr. 48'372.30 (= Fr. 6’695.30 + Fr. 6’809.95 + Fr. 6’795.05 + Fr. 7’034.80 + Fr. 7’006.00 + Fr. 7’030.00 + Fr. 7’001.20) verbucht. Wie diese Zahlen und diejenigen der Beschwerdegegnerin zusammenpassen sollen , ist nicht ersichtlich.</w:t>
      </w:r>
    </w:p>
    <w:p>
      <w:r>
        <w:t>Nicht nachvollziehbar ist im Übrigen auch, weshalb die Beschwerdegegnerin in ihrer Konkurseingabe vom 5. Dezember 2017 (Urk. 7/340) eine Forderung in der Höhe von Fr. 65'842.90 zur Kollokation anmeldete und gleichzeitig die Rechts kraft entsprechender Beitragsverfügungen bescheinigte («Bereits rechtskräftig verfügt sind CHF 65'842.90.») .</w:t>
      </w:r>
    </w:p>
    <w:p>
      <w:r>
        <w:t>In den von der Beschwerdegegnerin eingereichten Akten (Urk. 7/1-446) sind nämlich keine Hinweise auf rechtskräftige Beitragsver fügungen in der genannten Höhe vorhanden. Ob diese rechtskräftigen Verfügun gen aus irgendwelchen Gründen in Verstoss geraten sind oder ob diese Verfü gungen gar nie existiert haben, ist ungeklärt. Ebenso sonderbar ist, dass die Beschwerdegegnerin eine - angeblich rechtskräftig verfügte - Forderung von Fr. 65'842.90 zur Kollokation angemeldet haben will, soll doch der Beitragsaus stand gemäss eigenen Kontoauszügen meistens Fr. 46' 793.85 betragen haben (vgl. die verschiedenen Kontoauszüge vom 21. August 2019 mit unterschiedli chen Saldi und Zeiträumen [Urk. 7/370 -375]).</w:t>
      </w:r>
    </w:p>
    <w:p>
      <w:r>
        <w:t>Des Weiteren ist auch folgender Umstand nicht stimmig: Die Beschwerdegegnerin erklärte im angefochtenen Einspracheentscheid , dass sie alle noch offenen Aus stände in Betreibung gesetzt habe (Urk. 2 S. 5 E. 5). Das würde bedeuten, dass (mindestens) Fr. 46'793.85 in Betreibung und noch offen (also nicht bezahlt) sein müssten. Das stimmt jedoch nicht mit dem Betreibungsregister (Urk. 3/5) überein, das auf S. 9 lediglich offene Betreibungen der Beschwerdegegnerin in der Höhe von insgesamt Fr. 34'482.80 (Fr. 14'139.30 + Fr. 6'950.35 + Fr. 6'449.90 + Fr. 6'943.25) ausweist. Auch für diese Diskrepanz findet sich keine Erklärung. Obwohl der Beschwerdeführer auf diesen Widerspruch in seiner Replik vom 22. November 2022 (Urk. 11) aufmerksam ge macht hatte , blieb die Beschwerde gegnerin diesbezüglich abgesehen von einer unsubstantiierten Bestreitung jede sachdienliche Antwort schuldig (vgl. Urk. 13). Das s die unsubstantiierte Bestrei tung aktenwidrig ist, ergibt sich nach dem Gesagten von selbst.</w:t>
      </w:r>
    </w:p>
    <w:p>
      <w:r>
        <w:t>Auch im Übrigen zeigen sich die Akten der Beschwerdegegnerin in einem uner freulichen und kaum rechtmässigen Zustand. Sie sind durch Dokumente aufge bläht, die in keinem erkennbaren Zusammenhang mit dem vorliegenden Schadenersatzverfahren stehen. Beispielhaft dafür seien genannt: ein Scheidungsurteil von am vorliegenden Verfahren nicht beteiligten Personen samt Scheidungskonvention (Urk. 7/129) sowie zahlreiche Editionsverfügungen der Staatsanwaltschaft Winter t hur / Unterland vom 25. August 2017 einen ausserge wöhnlichen Todesfall betreffend (Urk. 7/305-312). 2.2.2</w:t>
      </w:r>
    </w:p>
    <w:p>
      <w:r>
        <w:t>Aus dem Gesagten ergibt sich ohne Weiteres, dass die von der Beschwerdegegnerin eingereichten Akten keine hinreichende Grundlage zur Ermittlung der Schadenssumme bilden können. Die zutage tretenden Widersprüche und Diskrepanzen sind erheblich.</w:t>
      </w:r>
    </w:p>
    <w:p>
      <w:r>
        <w:t>Angesichts des Auszuges aus dem Betreibungsregisters (Urk. 3/5) und der übrigen Akten ist zwar davon auszugehen, dass die Beschwerdegegnerin tatsächlich einen Beitragsausfall und somit einen Schaden erlitten hat. Dessen Höhe kann jedoch - wie ausgeführt - anhand der vorliegenden Akten nicht ermittelt werden. An sich müsste demzufolge die Sache zwecks rechtsgenügender Ermittlung des Schadens betrages an die Beschwerdegegnerin zurückgewiesen werden. Im vorliegenden Fall kann allerdings - wie noch zu zeigen sein wird - darauf verzichtet werden .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111 V 172 E. 2, je mit Hinweisen; vgl. Urteil des Bundesgerichts 9C_165/2017 vom 8. August 2017 E. 4.2.3). 3.2</w:t>
      </w:r>
    </w:p>
    <w:p>
      <w:r>
        <w:t>Aus den Akten ist ersichtlich, dass die Y.___</w:t>
      </w:r>
    </w:p>
    <w:p>
      <w:r>
        <w:t>den ihr als Arbeitgeberin obliegen den Zahlungsverpflichtungen seit vielen Jahren nicht ordnungsgemäss nachge kommen ist. Die Beschwerdegegnerin sah sich deshalb veranlasst, gegen die Gesellschaft sehr viele Betreibungsverfahren einzuleiten. Das wird allein schon durch den Auszug aus dem Betreibungsregister des Betreibungsregisters Winterthur-Stadt belegt (vgl. Urk. 3/5). Es bedarf keiner weiteren Ausführungen, dass die Y.___ Vorschriften im Sinne von Art. 52 Abs. 1 AHVG verletzt hat, weshalb der von ihr verursachte Schaden (soweit er bewiesen werden könnte) grundsätzlich voll zu decken ist.</w:t>
      </w:r>
    </w:p>
    <w:p>
      <w:r>
        <w:t>Zu prüfen bleibt, inwieweit diese Missachtung öffentlichrechtlicher Arbeitgeber pflichten auf grobfahrlässiges oder vorsätzliches Verhalten des Beschwerde führers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 tung der AHV-Vorschriften der Ausgleichskasse einen Schaden zufügt, aber trotz dem nicht schadenersatzpflichtig wird, wenn besondere Umstände die Nichtbe folgung der einschlägigen Vorschriften als erlaubt oder nicht schuldhaft erschei 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 len. Ähnlich ist zu differenzieren, wenn es darum geht, die subsidiäre Haftung der Organe zu ermitteln (BGE 108 V 199 E. 3a mit Hinweisen; ZAK 1985 S. 51 E. 2a, S. 620 E. 3b, je mit weiteren Hinweisen).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 gen besteht für den blossen Gesellschafter einer GmbH vorbehältlich einer abwei chenden statutarischen Regelung keine Pflicht zur Kontrolle oder Überwachung der Geschäftsführung, weshalb ihm das Fehlverhalten der Gesellschaft auch nicht angerechnet werden darf (BGE 126 V 237). 5. 5.1</w:t>
      </w:r>
    </w:p>
    <w:p>
      <w:r>
        <w:t>Der Beschwerdeführer liess zu seiner Entlastung im Wesentlichen vortragen, dass die Beschwerdegegnerin den (etwaigen) Schaden durch ihr Handeln beziehungs weise ihre Unterlassung selbst verursacht habe und dass zwischen den Hand lungen des Beschwerdeführers und einem eingetretenen Schaden kein adäquater Kausalzusammenhang bestehe respektive ein solcher Zusammenhang unterbro chen worden sei (Urk. 1 S. 5 f.). 5.2</w:t>
      </w:r>
    </w:p>
    <w:p>
      <w:r>
        <w:t>Die Beschwerdegegnerin widersprach dem Vorbringen des Beschwerdeführers, wonach sie es unterlassen habe , im Konkurs der Y.___ eine Forderung anzumel den , in ihrer Replik vom 10. Januar 2023 (Urk. 13) einzig mit dem Hin weis auf ihre Erwägungen in Ziff. 5 Abs. 4 des angefochtenen Einspracheentscheids (Urk. 2 S. 4): « [ …] Am 5. Dezember 2017 haben wir unsere gesamte Forderung in den Konkurs eingegeben. Am 10. Juli 2018 fragen wir nach, inwie fern wir zu Schaden kommen würden. Am 20. Juli 2018 erhielten wir die Antwort des Konkursamtes, dass noch Löhne im Umfang von CHF 13'881.50 aus der Konkursmasse ausgerichtet wurden. Diese wurde ordentlich abgerechnet. Damit waren die Lohnforderungen zu 100% gedeckt. Nicht jedoch die Beitragsforderung. » 5.3 5.3.1</w:t>
      </w:r>
    </w:p>
    <w:p>
      <w:r>
        <w:t>Die Beschwerdegegnerin gab die Mitteilung des Konkursamtes Winterthur-Alt stadt vom 19. Juli 2018 (Urk. 19) , welche bei ihr am 2 0. Juli 2018 einging (vgl. Aktenverzeichnis zu Urk. 7/1-446), im angefochtenen Einspracheentscheid nur unvollständig und sinnentstellend wieder. Die entscheidende Mitteilung des Konkursamtes war nämlich, dass die Beschwerdegegnerin gar kein e Forderung ange meldet hatte. Warum ausgerechnet diese Aussage im angefochtenen Einsprache entscheid nicht wiedergegeben wurde, ist unklar.</w:t>
      </w:r>
    </w:p>
    <w:p>
      <w:r>
        <w:t>Ob die Beschwerdegegnerin die «Forderungseingabe und Verfügung» vom 5. Dezember 2017 (Urk. 7/340) der Post übergeben hat und ob gegebenenfalls diese Sendung das Konkursamt erreicht hat, kann vorliegend offenbleiben. Selbst wenn die sinngemässe Sachdarstellung der Beschwerdegegnerin, wonach sie die genannte Forderungseingabe per Einschreiben an das Konkursamt gesandt habe und das Konkursamt diese Eingabe aus irgendwelchen Gründen nicht beachtet habe, zutreffend sein sollte, würde dies der Beschwerdegegnerin aus diversen Gründen nichts nützen. 5.3.2</w:t>
      </w:r>
    </w:p>
    <w:p>
      <w:r>
        <w:t>Es wäre nämlich ihre Pflicht gewesen, in den Kollokationsplan Einsicht zu nehmen. Hätte sie das getan, hätte sie erkennen können, dass ihre Forderung nicht behandelt worden</w:t>
      </w:r>
    </w:p>
    <w:p>
      <w:r>
        <w:t>war . Daraufhin hätte sie nicht einmal eine Kollokations klage erheben müssen, sondern hätte ganz unkompliziert eine Beschwerde nach Art. 17 SchKG erheben können ( BGE 138 III 4 3</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w:t>
      </w:r>
    </w:p>
    <w:p>
      <w:r>
        <w:t>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9C_166/2017 vom 8. August 2017 E. 4.1). Die Frist zur Geltendmachung des Schadens wird in Gang gesetzt, wenn die Aus gleichskasse die für den Erlass einer Schadenersatzverfügung notwendige Kennt nis über Existenz, Beschaffenheit und wesentliche Merkmale des Schadens sowie die Person des Ersatzpflichtigen hat (BGE 128 V 10 E. 5a mit Hinweisen). In die sem Sinne zumutbare Kenntnis eines Teilschadens genügt (BGE 121 V 240 E. 3c/ bb ; Urteil des Bundesgerichts 9C_131/2008 vom 28. Mai 2009 E. 3.3.1). Nicht erforderlich ist, dass die Höhe des Schadens ziffernmässig bereits genau festgelegt werden kann. Es reicht aus, wenn die Ausgleichskasse die voraussicht liche Höhe des aufgrund der unbezahlt gebliebenen Beiträge zu erwartenden Ver lusts abzuschätzen vermag (vgl. BGE 116 II 158 E. 4a; Urteile des Bundesgerichts 9C_325/2010 vom 10. Dezember 2010 E. 2.1.1 und 9C_166/2017 vom 8. August 2017 E. 4.1, je mit weiteren Hinweisen).</w:t>
      </w:r>
    </w:p>
    <w:p>
      <w:r>
        <w:t>Im Falle eines Konkurses oder Nachlassvertrages mit Vermögensabtretung hat die Kasse nicht notwendigerweise erst Kenntnis des Schadens, wenn sie in die Ver teilungsliste und Schlussrechnung des Konkursamtes oder Liquidators Einsicht nehmen kann oder einen Verlustschein erhält; denn wer im Rahmen solcher Ver fahren einen Verlust erleidet und auf Ersatz klagen will, hat praxisgemäss in der Regel bereits dann ausreichende Kenntnis des Schadens, wenn die Kollokation der Forderungen eröffnet beziehungsweise der Kollokationsplan (und das Inven tar) zur Einsicht aufgelegt wird. In diesem Zeitpunkt ist oder wäre der Gläubiger im Allgemeinen in der Lage, den Stand der Aktiven, die Kollokation seiner Forderung und die voraussichtliche Dividende zu kennen (BGE 126 V 443 E. 3a, 119 V 89 E. 3, je mit Hinweisen; Urteil des Bundesgerichts 9C_131/2008 vom 28. Mai 2009 E. 3.3.1 , Urteil des Bundesgerichts 9C_704/2007 vom 1. März 2008 E. 5.1 nicht publ. in: BGE 134 I 179).</w:t>
      </w:r>
    </w:p>
    <w:p>
      <w:r>
        <w:rPr>
          <w:b/>
        </w:rPr>
        <w:t>E. 1.3</w:t>
      </w:r>
    </w:p>
    <w:p>
      <w:r>
        <w:t>Mit Verfügung vom 22. August 2019 (Urk. 7/376) verpflichtete die Ausgleichs kasse den ehemaligen Geschäftsführer der Y.___ , X.___ , zur Bezahlung von Schadenersatz von Fr. 46'747.2 5. Die genannte Verfügung konnte X.___ am 27. April 2020 zugestellt werden (vgl. Urk. 7/391, 7/ 393 und 7/39</w:t>
      </w:r>
    </w:p>
    <w:p>
      <w:r>
        <w:rPr>
          <w:b/>
        </w:rPr>
        <w:t>E. 6</w:t>
      </w:r>
    </w:p>
    <w:p>
      <w:r>
        <w:t>). Mit Eingabe vom 25. Mai 2020 (Urk. 7/399) liess X.___ Einsprache gegen die Verfügung vom 22. August 2019 erheben.</w:t>
      </w:r>
    </w:p>
    <w:p>
      <w:r>
        <w:t>Die Ausgleichskasse wies die Einsprache mit Entscheid vom 7. Juni 2022 (Urk. 2) ab. 2.</w:t>
      </w:r>
    </w:p>
    <w:p>
      <w:r>
        <w:t>Dagegen liess X.___ mit Eingabe vom 6. Juli 2022 (Urk. 1) Beschwerde erheben mit dem Antrag auf ersatzlose und entschädigungsfällige Aufhebung der Verfügung vom 22. August 2019 und des Einspracheentscheid vom 7. Juni 202 2. Die Ausgleichskasse schloss in ihrer Beschwerdeantwort vom 13. September 2022 (Urk. 6) auf Abweisung der Beschwerde. Replicando und duplicando hielten die Parteien an ihren Anträgen fest (Urk. 11 und 13 ). Am 23. Januar 2023 liess X.___ eine weitere Eingabe samt Beilagen ins Recht reichen (Urk. 15 und 16/1-3), w as d er Ausgleichskasse mitgeteilt wurde (vgl. Urk. 17). Von Amtes wegen wurde ein Handelsregisterauszug der Y.___ beigezogen (Urk. 18).</w:t>
      </w:r>
    </w:p>
    <w:p>
      <w:r>
        <w:t>Am 2. März 2023 reichte die Ausgleichskasse nach telefo nischer Aufforderung des Gerichts nochmals Urk. 7/351 zu den Akten (nunmehr als Urk. 19 geführt); das Dokument war wohl im Laufe des Verfahrens in Verstoss geraten.</w:t>
      </w:r>
    </w:p>
    <w:p>
      <w:r>
        <w:t>Auf die Ausführungen der Parteien ist, soweit für die Entscheidfindung erforder lich, in den Erwägungen einzugehen. Das Gericht zieht in Erwägung: 1.</w:t>
      </w:r>
    </w:p>
    <w:p>
      <w:r>
        <w:rPr>
          <w:b/>
        </w:rPr>
        <w:t>E. 7</w:t>
      </w:r>
    </w:p>
    <w:p>
      <w:r>
        <w:t>der Verordnung über die Gebühren, Kosten und Entschädi gungen vor dem Sozialversicherungsgericht [ GebV</w:t>
      </w:r>
    </w:p>
    <w:p>
      <w:r>
        <w:t>SVGer ] ).</w:t>
      </w:r>
    </w:p>
    <w:p>
      <w:r>
        <w:t>Demzufolge ist die Beschwerdegegnerin zu verpflichten, dem Beschwerdeführer ein angemessene Prozessentschädigung in der Höhe von Fr. 2'800. (inklusive Barauslagen und Mehrwertsteuer) zuzusprechen. Das Gericht erkennt: 1.</w:t>
      </w:r>
    </w:p>
    <w:p>
      <w:r>
        <w:t>In Gutheissung der Beschwerde wird der Einspracheentscheid vom 7. Juni 2022 aufge hoben. 2.</w:t>
      </w:r>
    </w:p>
    <w:p>
      <w:r>
        <w:t>Das Verfahren ist kostenlos. 3.</w:t>
      </w:r>
    </w:p>
    <w:p>
      <w:r>
        <w:t>Die Beschwerdegegnerin wird verpflichtet, dem Beschwerdeführer eine Prozessentschä digung von Fr. 2’800 .-- (inkl usive Barauslagen und Mehrwertsteuer ) zu bezahlen. 4.</w:t>
      </w:r>
    </w:p>
    <w:p>
      <w:r>
        <w:t>Zustellung gegen Empfangsschein an: - Rechtsanwalt Jürg Bügler - Sozialversicherungsanstalt des Kantons Zürich, Ausgleichskasse - Bundesamt für Sozialversicherungen 5.</w:t>
      </w:r>
    </w:p>
    <w:p>
      <w:r>
        <w:t>Da der Streitwert die erforderliche Grenze von Fr. 30'000.-- erreicht, kann gegen diesen Entscheid innert 30 Tagen seit der Zustellung beim Bundesgericht Beschwerde einge reicht werden (Art. 82 ff., insbesondere Art. 85, in Verbindung mit Art. 90 ff. des Bun 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