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AK.2022.00001 vom 17. August 2020</w:t>
      </w:r>
    </w:p>
    <w:p>
      <w:r>
        <w:t>ZH Sozialversicherungsgericht, 2020-08-17, DE</w:t>
      </w:r>
    </w:p>
    <w:p>
      <w:r>
        <w:rPr>
          <w:b/>
        </w:rPr>
        <w:t xml:space="preserve">Quelle: </w:t>
      </w:r>
      <w:r>
        <w:t>https://mcp.opencaselaw.ch/entscheid/zh_sozialversicherungsgericht_AK.2022.00001</w:t>
      </w:r>
    </w:p>
    <w:p>
      <w:r>
        <w:t>FR: ZH_SOZIALVERSICHERUNGSGERICHT AK.2022.00001 du 17 août 2020</w:t>
      </w:r>
    </w:p>
    <w:p>
      <w:r>
        <w:t>IT: ZH_SOZIALVERSICHERUNGSGERICHT AK.2022.00001 del 17 agosto 2020</w:t>
      </w:r>
    </w:p>
    <w:p>
      <w:pPr>
        <w:pStyle w:val="Heading2"/>
      </w:pPr>
      <w:r>
        <w:t>Erwägungen</w:t>
      </w:r>
    </w:p>
    <w:p>
      <w:r>
        <w:rPr>
          <w:b/>
        </w:rPr>
        <w:t>E. 1.1</w:t>
      </w:r>
    </w:p>
    <w:p>
      <w:r>
        <w:t>Nach Art. 59 des Bundesgesetzes über den Allgemeinen Teil des Sozialversiche rungsrechts (ATSG) ist zur Beschwerde berechtigt, wer durch die angefochtene Verfügung oder den Einspracheentscheid berührt ist und ein schutzwürdiges Interesse an deren Aufhebung oder Änderung hat. Auf ein Rechtsmittel ist nur einzutreten, soweit der Rechtsmittelkläger durch den angefochtenen Entscheid beschwert ist ( Art. 59 Abs. 1 und 2 lit . a d er Zivilprozessordnung [ZPO] in Verbindung mit § 28 lit . a des Gesetzes über das Sozialversicherungsgericht [ GSVGer ]). D ie in Art. 59 ATSG verlangte materielle Beschwer besteht im prak tischen Nutzen, den di e Gutheissung der Beschwerde der</w:t>
      </w:r>
    </w:p>
    <w:p>
      <w:r>
        <w:t>b eschwerdeführenden Person verschaffen würde (Volz, in: Gesetz über das Sozialversicherungsgericht des Kantons, 2. Aufl. 2009 , N 64 zu § 13).</w:t>
      </w:r>
    </w:p>
    <w:p>
      <w:r>
        <w:rPr>
          <w:b/>
        </w:rPr>
        <w:t>E. 1.2</w:t>
      </w:r>
    </w:p>
    <w:p>
      <w:r>
        <w:t>Der Beschwerdeführer</w:t>
      </w:r>
    </w:p>
    <w:p>
      <w:r>
        <w:rPr>
          <w:b/>
        </w:rPr>
        <w:t>E. 2</w:t>
      </w:r>
    </w:p>
    <w:p>
      <w:r>
        <w:t>.3</w:t>
      </w:r>
    </w:p>
    <w:p>
      <w:r>
        <w:t>Am 11 . Septemb er 2017 ste llte das Betreibungsamt B.___ der Beschwerdegeg ner in - wie bereits erwähnt - die ersten Verlustschein e infolge Pfändung nach</w:t>
      </w:r>
    </w:p>
    <w:p>
      <w:r>
        <w:t>Art. 149 SchKG aus (Urk. 6/189 -192 ).</w:t>
      </w:r>
    </w:p>
    <w:p>
      <w:r>
        <w:t>Damit wurde die zweijährige Verjährungs frist von altArt . 52 Abs. 3 AHVG in Gang gesetzt. Mit dem Erlass der Schaden ersatzverfügung vom 13. August 2019 (Urk. 6/352 ) wahrte die Beschwerdegeg nerin diese Frist. Auch in der Folge wurde die zwei- beziehungsweise (ab 1. Januar 2020) dreijährige Verjährungsfrist stets rechtzeitig unterbrochen. Die streitgegenständliche Forderung ist somit nicht verjährt.</w:t>
      </w:r>
    </w:p>
    <w:p>
      <w:r>
        <w:rPr>
          <w:b/>
        </w:rPr>
        <w:t>E. 2.1</w:t>
      </w:r>
    </w:p>
    <w:p>
      <w:r>
        <w:t>Gegen den Einspracheentscheid vom 6. Dezember 2021 (Urk. 2) erhob X.___ mit Eingabe vom 28. Dezember 2021 (Urk. 1) Beschwerde mit dem sinnge mässen Antrag, es sei der angefochtene Einspracheentscheid ersatzlos aufzu heben. Die Ausgleichskasse schloss in ihrer Beschwerdeantwort vom 10. Februar 2022 (Urk. 4) auf Abweisung der Beschwerde.</w:t>
      </w:r>
    </w:p>
    <w:p>
      <w:r>
        <w:rPr>
          <w:b/>
        </w:rPr>
        <w:t>E. 2.2</w:t>
      </w:r>
    </w:p>
    <w:p>
      <w:r>
        <w:t>Ebenfalls am 28. Dezember 2021 hatte auch Y.___ Einsprache gegen den gegen X.___ gerichteten Einspracheentscheid erhoben mit dem sinnge mässen Antrag auf Aufhebung des angefochtenen Entscheids (Urk. 7/1-2). Die Ausgleichskasse beantragte wiederum die Abweisung der Beschwerde (vgl. Urk. 7/4).</w:t>
      </w:r>
    </w:p>
    <w:p>
      <w:r>
        <w:rPr>
          <w:b/>
        </w:rPr>
        <w:t>E. 2.3</w:t>
      </w:r>
    </w:p>
    <w:p>
      <w:r>
        <w:t>Mit Verfügung vom 21. Februar 2022 (Urk. 8) wurden die beiden Prozesse vereinigt und den Prozessparteien wechselseitig die Prozesseingaben zur Kennt nisnahme zugestellt.</w:t>
      </w:r>
    </w:p>
    <w:p>
      <w:r>
        <w:t>Auf die Ausführungen der Parteien ist, soweit für die Entscheidfindung erforder lich, in den Erwägungen einzugehen. Das Gericht zieht in Erwägung: 1.</w:t>
      </w:r>
    </w:p>
    <w:p>
      <w:r>
        <w:rPr>
          <w:b/>
        </w:rPr>
        <w:t>E. 3</w:t>
      </w:r>
    </w:p>
    <w:p>
      <w:r>
        <w:t>.2.3</w:t>
      </w:r>
    </w:p>
    <w:p>
      <w:r>
        <w:t>Soweit der Beschwerdeführer 1 vortrug, dass die Konkursitin immer noch über Aktiva verfüge und dass sich die Beschwerdegegnerin an das Konkursamt zu wenden habe, ist ih m entgegenzuhalten, dass</w:t>
      </w:r>
    </w:p>
    <w:p>
      <w:r>
        <w:t>sich die B eschwerdegegnerin zwar eine etwaige K onkursdividende auf die Schadenersatzforderung (sofern eine solche zuzusprechen sein wird) anrechnen lassen müsste beziehungsweise eine solche Dividende nach vollständiger Befriedigung ihrer Forderung abtreten müsste, dass das aber die Geltendmachung der vorliegenden Schadenersatzforde rung ansonsten in keiner Art und Weise hemmt.</w:t>
      </w:r>
    </w:p>
    <w:p>
      <w:r>
        <w:t>Im Übrigen ist der Hinweis de s Beschwerdeführer s</w:t>
      </w:r>
    </w:p>
    <w:p>
      <w:r>
        <w:t>1 auf die angeblichen Aktiva der Konkursitin angesichts der bei den Akten liegenden Verlustscheine (vgl. oben E. 2.2.1) und der Höhe der streitgegenständlichen Forderung faktisch wohl ohne hin rein theoretischer Natur.</w:t>
      </w:r>
    </w:p>
    <w:p>
      <w:r>
        <w:rPr>
          <w:b/>
        </w:rPr>
        <w:t>E. 4</w:t>
      </w:r>
    </w:p>
    <w:p>
      <w:r>
        <w:t>.2</w:t>
      </w:r>
    </w:p>
    <w:p>
      <w:r>
        <w:t>Aus den Akten ist ersichtlich, dass die Z.___ GmbH den ihr als Arbeitgeberin obliegenden Abrechnungs- und Zahlungsverpflichtungen in den Jahren 2014 bis 2016 nicht ordnungsgemäss und nur unvollständig nachkam. Die Summe der in den genannten Jahren durch die Gesellschaft ausgerichteten Lohnzahlungen musste - wie bereits ausgeführt - durch den Revisor der Beschwerdegegnerin ermittelt werden (vgl. Urk. 6/298/3); brauchbare Jahreslohnabrechnungen reichte die Z.___ GmbH nicht ein. Die Beschwerdegegnerin sah sich wegen der nicht erfolgten Beitragszahlungen veranlasst, die Gesellschaft wiederholt zu mahnen und zahlreiche Schuldbetreibungsverfahren einzuleiten, die regelmässig mit der Ausstellung von Verlustscheinen endeten (vgl. dazu oben E. 2.2.1). Schliesslich blieben geschuldete (vorliegend relevante) Sozialversicherungsbeiträge (inklusive Nebenkosten) in der Höhe von Fr. 145'382.65 unbezahlt (vgl. E. 2.2.2). Es bedarf keiner weiteren Ausführungen, dass die Z.___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 s Beschwerde führer s 1 zurückzuführen ist.</w:t>
      </w:r>
    </w:p>
    <w:p>
      <w:r>
        <w:rPr>
          <w:b/>
        </w:rPr>
        <w:t>E. 5</w:t>
      </w:r>
    </w:p>
    <w:p>
      <w:r>
        <w:t>.2.3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w:t>
      </w:r>
    </w:p>
    <w:p>
      <w:r>
        <w:rPr>
          <w:b/>
        </w:rPr>
        <w:t>E. 6</w:t>
      </w:r>
    </w:p>
    <w:p>
      <w:r>
        <w:t>.3</w:t>
      </w:r>
    </w:p>
    <w:p>
      <w:r>
        <w:t>Der Beschwerdeführer 1</w:t>
      </w:r>
    </w:p>
    <w:p>
      <w:r>
        <w:t>ist seit dem 17. Oktober 2013 als einzelzeichnungs berechtigter Geschäftsführer der Z.___ GmbH im Handelsregister des Kantons Zürich eingetragen (Urk. 11). Bei der Z.___ GmbH handelte es sich um ein kleines Unternehmen mit nur wenigen Angestellten (vgl. Urk. 6/298/3). Bei derart leicht überschaubaren Verhältnissen muss von jedem Geschäftsführer einer Gesellschaft mit beschränkter Haftung verlangt werden, dass er den Über blick über alle wesentlichen Belange des Unternehmens hat.</w:t>
      </w:r>
    </w:p>
    <w:p>
      <w:r>
        <w:t>D er Beschwerdeführer 1 m u ss sich demnach den Vorhalt gefallen lassen, dass die Z.___ GmbH der Beschwerdegegnerin vorliegend relevante Sozialversiche rungsbeiträge (inklusive Nebenkosten) von Fr. 145'382.65 schuldig blieb (vgl. E. 3 .2.2), in den Jahren 2014 bis 2016 aber Lohnzahlungen von insgesamt Fr. 1'166'368. ausrichtete (vgl. E. 3 .2.1). Mit anderen Worten wurde den Lohn zahlungen Priorität vor der Beitragsentrichtung eingeräumt. Indem d er Beschwer deführer 1 nicht gegen diese Praxis der Z.___ GmbH einschritt beziehungs weise selbst diese Vorgehensweise wählte, verletzte er seine</w:t>
      </w:r>
    </w:p>
    <w:p>
      <w:r>
        <w:t>öffentlichrechtlichen Pflichten als Geschäftsführer einer Gesellschaft mit beschränkter Haftung. Er hätte nämlich dafür sorgen müssen, dass di e Z.___ GmbH nur Löhne ausrichtet, für die die Gesellschaft auch die entsprech enden Sozialversicherungs beiträge zu leisten imstande ist (für viele etwa: Urteil des damaligen Eidgenössi schen Versicherungsgerichts H 26/06 vom 10. April 2006 E. 4.3 mit Hinweis).</w:t>
      </w:r>
    </w:p>
    <w:p>
      <w:r>
        <w:t>In verschuldensmässiger Hinsicht fällt weiter ins Gewicht, dass die Z.___ GmbH und damit auch d er Beschwerdeführer 1 als deren Geschäftsführer nicht nur hinsichtlich der Beitragsbezahlung nicht rechtskonform handelten, sondern auch ihre Abrechnungspflichten nicht erfüllten. Wie bereits ausgeführt wurde, mussten die ausgerichteten Jahreslohnsummen durch den Revisor der Beschwer degegnerin ermittelt werden (vgl. Urk. 6/298/3). Der Beschwerdeführer 1 missachtete damit</w:t>
      </w:r>
    </w:p>
    <w:p>
      <w:r>
        <w:t>seine Pflichten grundsätzlich. Das Vorbringen de s Beschwer deführer s 1 , wonach er sich stets um Lösungen mit der Beschwerdegegnerin bemüht habe (vgl. Urk. 1 und Urk. 7/1), sind nicht nachvollziehbar; die Akten belegen vielmehr ein Verhalten von beispielhafter Pflichtvergessenheit.</w:t>
      </w:r>
    </w:p>
    <w:p>
      <w:r>
        <w:t>Rechtfertigungs- oder Schuldaus schlussgründe liegend jedenfalls nicht vor.</w:t>
      </w:r>
    </w:p>
    <w:p>
      <w:r>
        <w:rPr>
          <w:b/>
        </w:rPr>
        <w:t>E. 7</w:t>
      </w:r>
    </w:p>
    <w:p>
      <w:r>
        <w:t>.</w:t>
      </w:r>
    </w:p>
    <w:p>
      <w:r>
        <w:t>Unter den gegebenen Umständen ist das Verhalten be ziehungsweise die Passivität de s Beschwerdeführer s 1 ohne Weiteres auch adäquat kausal (BGE 119 V 406 E. 4a) für den bei der Beschwerdegegnerin eingetretenen, vorliegend relevan ten Schaden in der Höhe von Fr. 145'382.65 (vgl. E. 2.2.2), wes halb er zu Recht verpflichtet wurde, dafür in solidarischer Haftung Ersatz zu leisten.</w:t>
      </w:r>
    </w:p>
    <w:p>
      <w:r>
        <w:t>Demzufolge ist die Beschwerde de s Beschwerdeführer s 1 gegen den Einsprache entscheid vom 6. Dezember 2021 (Urk. 2) abzuweisen.</w:t>
      </w:r>
    </w:p>
    <w:p>
      <w:r>
        <w:t>Das Gericht erkennt: 1.</w:t>
      </w:r>
    </w:p>
    <w:p>
      <w:r>
        <w:t>Die Beschwerde des Beschwerdeführers 1 w ird abgewiesen. 2.</w:t>
      </w:r>
    </w:p>
    <w:p>
      <w:r>
        <w:t>Auf die Beschwerde des Beschwerdeführers 2 wird nicht eingetreten. 3 .</w:t>
      </w:r>
    </w:p>
    <w:p>
      <w:r>
        <w:t>Das Verfahren ist kostenlos. 4 .</w:t>
      </w:r>
    </w:p>
    <w:p>
      <w:r>
        <w:t>Zustellung gegen Empfangsschein an: - X.___ - Y.___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