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AK.2021.00022 vom 7. September 2022</w:t>
      </w:r>
    </w:p>
    <w:p>
      <w:r>
        <w:t>ZH Sozialversicherungsgericht, 2022-09-07, DE</w:t>
      </w:r>
    </w:p>
    <w:p>
      <w:r>
        <w:rPr>
          <w:b/>
        </w:rPr>
        <w:t xml:space="preserve">Quelle: </w:t>
      </w:r>
      <w:r>
        <w:t>https://mcp.opencaselaw.ch/entscheid/zh_sozialversicherungsgericht_AK.2021.00022</w:t>
      </w:r>
    </w:p>
    <w:p>
      <w:r>
        <w:t>FR: ZH_SOZIALVERSICHERUNGSGERICHT AK.2021.00022 du 7 septembre 2022</w:t>
      </w:r>
    </w:p>
    <w:p>
      <w:r>
        <w:t>IT: ZH_SOZIALVERSICHERUNGSGERICHT AK.2021.00022 del 7 settembre 2022</w:t>
      </w:r>
    </w:p>
    <w:p>
      <w:pPr>
        <w:pStyle w:val="Heading2"/>
      </w:pPr>
      <w:r>
        <w:t>Erwägungen</w:t>
      </w:r>
    </w:p>
    <w:p>
      <w:r>
        <w:rPr>
          <w:b/>
        </w:rPr>
        <w:t>E. 1</w:t>
      </w:r>
    </w:p>
    <w:p>
      <w:r>
        <w:t>X.___ , geboren 19 71 , und Y.___ , geboren 197</w:t>
      </w:r>
    </w:p>
    <w:p>
      <w:r>
        <w:rPr>
          <w:b/>
        </w:rPr>
        <w:t>E. 3</w:t>
      </w:r>
    </w:p>
    <w:p>
      <w:r>
        <w:t>(Urk. 11/22/5) , waren seit der Gründung Gesellschafter der Z.___ GmbH. Die Gesellschaft wurde am 8. Januar 2009</w:t>
      </w:r>
    </w:p>
    <w:p>
      <w:r>
        <w:t>in das Handelsregister des Kantons Zürich eingetragen. Gemäss Handelsregister war</w:t>
      </w:r>
    </w:p>
    <w:p>
      <w:r>
        <w:t>X.___ Gesellschafter und Geschäftsführer mit Einzelunterschrift. Y.___ wurde zunächst als Gesellschafterin mi t Kollektivunterschrift zu zwei en danach mit Einzelunter schrift eingetragen. Am 24. Juni 2014 (Tagesregister datum) wurde ihr Eintrag zu Gesell schafterin ohne Zeich nungsberechtigung geändert</w:t>
      </w:r>
    </w:p>
    <w:p>
      <w:r>
        <w:t>( Urk. 11/1 , Internet-Auszug Handelsregister des Kantons Zürich ). Die Z.___ GmbH war der Sozialver sicherungsanstalt des Kantons Zürich, Ausgleichkasse, als beitrags pflichtige Arbeitgeberin angeschlos sen ( vgl. Urk. 11/ 1-468 ). Mit Urteil vom 2</w:t>
      </w:r>
    </w:p>
    <w:p>
      <w:r>
        <w:rPr>
          <w:b/>
        </w:rPr>
        <w:t>E. 3.1</w:t>
      </w:r>
    </w:p>
    <w:p>
      <w:r>
        <w:t>Nach altArt . 52 Abs. 3 AHVG in der bis 31. Dezember 2019 gültig gewesenen und vorliegend</w:t>
      </w:r>
    </w:p>
    <w:p>
      <w:r>
        <w:t>anwendbaren ( vgl.</w:t>
      </w:r>
    </w:p>
    <w:p>
      <w:r>
        <w:t>BGE 148 V 162 E. 3.2.1, 146 V 364 E. 7.1, 144 V 210 E. 4.3.1, je mit Hin weisen )</w:t>
      </w:r>
    </w:p>
    <w:p>
      <w:r>
        <w:t>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Strafrecht eine längere Frist vor, so gilt diese.</w:t>
      </w:r>
    </w:p>
    <w:p>
      <w:r>
        <w:rPr>
          <w:b/>
        </w:rPr>
        <w:t>E. 3.2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3.3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9C_166/2017 vom 8. August 2017 E. 4.1). Die Frist zur Geltendmachung des Schadens wird in Gang gesetzt, wenn die Ausgleichs kasse die für den Erlass einer Schadenersatzverfügung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 derlich ist, dass die Höhe des Schadens ziffernmässig bereits genau festgelegt werden kann. Es reicht aus, wenn die Ausgleichskasse die voraus sichtliche Höhe des aufgrund der unbezahlt gebliebenen Beiträge zu erwartenden Verlusts abzuschätzen vermag (vgl. BGE 116 II 158 E. 4a; Urteile des Bundesgerichts 9C_325/2010 vom 10. Dezember 2010 E. 2.1.1 und 9C_166/2017 vom 8. August 2017 E. 4.1, je mit weiteren Hinweisen). 3. 4</w:t>
      </w:r>
    </w:p>
    <w:p>
      <w:r>
        <w:t>Für die Frage nach dem Zeitpunkt der Schadenskenntnis, welche die Frist zur Geltendmachung der Schadenersatzforderung auslöst, ist - im Falle der regelmäs 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 (BGE 121 V 234).</w:t>
      </w:r>
    </w:p>
    <w:p>
      <w:r>
        <w:t>Die fristauslösende Schadenskenntnis kann ausnahmsweise schon vor dem jeweiligen Regelzeitpunkt gegeben sein. Rechtsprechungsgemäss wird diesbezüg lich ein strenger Massstab angelegt und nicht nur eine Vermutung, sondern die gesicherte Kenntnis des entstandenen Schadens verlangt (Urteile 9C_166/2017 vom 8. August 2017 E. 4.2.1, in: SVR 2017 AHV Nr. 21 S. 71; 9C_599/2017 vom 2 6. Juni 2018 E. 4.5.2; BGE 118 V 193 E. 3b; 116 V 72 E. 3c; Reichmuth , a.a.O., Rz . 823 mit weiteren Hinweisen). Eine Vorverlegung auf die Zeit vor Auflegung des Kollokationsplanes rechtfertigt sich etwa, wenn eine Ausgleichskasse anläss lich der Gläubigerversammlung vernimmt, dass ihre Forderung auf jeden Fall ungedeckt bleiben wird (BGE 118 V 193 E. 3b) . 4.</w:t>
      </w:r>
    </w:p>
    <w:p>
      <w:r>
        <w:rPr>
          <w:b/>
        </w:rPr>
        <w:t>E. 4</w:t>
      </w:r>
    </w:p>
    <w:p>
      <w:r>
        <w:t>. Mä r z 201</w:t>
      </w:r>
    </w:p>
    <w:p>
      <w:r>
        <w:rPr>
          <w:b/>
        </w:rPr>
        <w:t>E. 4.1</w:t>
      </w:r>
    </w:p>
    <w:p>
      <w:r>
        <w:t>). Dem kann nicht gefolgt werden. Bei den vom Konkursamt verwendeten Begriffe n «voraussichtlich» und «ohne Gewähr» handelt sich um sogenannte Floskeln,</w:t>
      </w:r>
    </w:p>
    <w:p>
      <w:r>
        <w:t>die einzig darauf hinweisen sollen, dass beim Konkursvollzug plötzlich neue Vermögenswerte auftauchen könnten. Dies ist in jedem Konkursverfahren rein theoretisch möglich (Urteil des Sozialversicherungs gerichts des Kantons Zürich AK.2013.00044 vom 30. Juni 2014 E. 2.3.2) . Beim Konkurs der Z.___ GmbH</w:t>
      </w:r>
    </w:p>
    <w:p>
      <w:r>
        <w:t>ist dieser Fall sogar eingetreten, ohne dass dies aber Konsequenzen für die vorliegend zu beurteilende n Fragen zur Schadens k enntnis und der dadurch ausgelösten Verjährungsfrist hätte (vgl. dazu E.</w:t>
      </w:r>
    </w:p>
    <w:p>
      <w:r>
        <w:t>4. 2. 3 nachstehend).</w:t>
      </w:r>
    </w:p>
    <w:p>
      <w:r>
        <w:rPr>
          <w:b/>
        </w:rPr>
        <w:t>E. 4.2.1</w:t>
      </w:r>
    </w:p>
    <w:p>
      <w:r>
        <w:t>Zu diesen Vorbringen der Par teien ist zunächst festzuhalten, dass gemäss REICHMUTH vor der Auflage des Kollokations planes und des Inventars für die Ausgleichskasse in der Regel kein Anlass zur Einleitung eines Schadenersatzver fahrens besteht. Eine Ausnahme soll laut diesem Autor für diejenigen Fälle gelten, in denen die Ausgleichskasse vor dem sogenannten Regelzeitpunkt tatsächlich eine aus reichende Schadenskenntnis erhält. Dies sei zum Beispiel der Fall, wenn die Kon kursverwaltung bereits vor der Auflage des Kollokationsplanes infor miere, dass die Gläubiger der 2. und 3. Klasse vollständig zu Verlust kommen würden (Marco Reichmuth , Die Haftung des Arbeitgebers und seiner Organe nach Art. 52 AHVG , Diss . Freiburg 2008, S. 202</w:t>
      </w:r>
    </w:p>
    <w:p>
      <w:r>
        <w:t>Rz .</w:t>
      </w:r>
    </w:p>
    <w:p>
      <w:r>
        <w:t>837 f. mit Hinweisen auf die bundesgerichtliche Recht spre chung). Zu ergänzen ist, dass die Beitrags forderun gen gemäss AHVG, IVG und EOG zur 2. K lasse gehören (Art.</w:t>
      </w:r>
    </w:p>
    <w:p>
      <w:r>
        <w:t>219 Abs.</w:t>
      </w:r>
    </w:p>
    <w:p>
      <w:r>
        <w:t>4 des Bundesgesetzes über Schuldbetreibung und Konkurs, SchKG).</w:t>
      </w:r>
    </w:p>
    <w:p>
      <w:r>
        <w:t>Der Beschwerde führer und die Bei geladene halten dafür, dass die Beschwerdegegnerin vom Konkursamt Wallisellen bereits mit Schreiben vom 2 9. September 2016 (Urk.</w:t>
      </w:r>
    </w:p>
    <w:p>
      <w:r>
        <w:t>11/403) entsprechend orien tiert worden sei. Mit diesem Schreiben teilte das Konkursamt Wallisellen ein leitend mit, dass das Bezirksgericht Bülach mit Urteil vom 7. Mai 2015 das sum marische Verfahren angeordnet habe (Urk. 11/403/1) .</w:t>
      </w:r>
    </w:p>
    <w:p>
      <w:r>
        <w:t>Dies deutete bereits für sich allein darauf hin, dass die Aktiven der Konkursmasse von geringe m Wert sind, nämlich voraussichtlich nicht einmal die Kosten des ordentlichen Verfahrens ge deckt sind (vgl. Art. 231 Abs. 1 Ziff. 1 SchKG; Urteil des Sozialversicherungs gerichts des Kantons Zürich AK.2013.00044 vom 30.</w:t>
      </w:r>
    </w:p>
    <w:p>
      <w:r>
        <w:t>Juni 2014 E.</w:t>
      </w:r>
    </w:p>
    <w:p>
      <w:r>
        <w:t>2.3.2 ).</w:t>
      </w:r>
    </w:p>
    <w:p>
      <w:r>
        <w:t>Da nach fü h r te das Konkursamt aus, dass die Gläubigerinnen und Gläubiger, anstelle einer Gläubigerversammlung, welche im summarischen Ver fahren in der Regel nicht stattfinden würde (vgl. Art. 231 Abs. 3</w:t>
      </w:r>
    </w:p>
    <w:p>
      <w:r>
        <w:t>Ziff. 1 SchKG ), mit ihrem Schreiben vom 2 9. September 2016 orientiert würden (Urk. 11/403/1).</w:t>
      </w:r>
    </w:p>
    <w:p>
      <w:r>
        <w:t>Daraus konnte die Beschwerdeführerin die Angaben zu einer allfälligen Konkurs divi den d e somit un mittelbar diesem Schreiben entnehmen. Dabei konnte ihr</w:t>
      </w:r>
    </w:p>
    <w:p>
      <w:r>
        <w:t>d ie Mit teilung des Konkursamtes , dass die Gläubiger in der 2. und 3. Klasse voraus sichtlich vollständig zu Verlust kommen werden (Urk. 11/403/2) , nicht entgangen sein . Das Konkursamt machte diese Angaben ohne Gewähr (Urk.</w:t>
      </w:r>
    </w:p>
    <w:p>
      <w:r>
        <w:t>11/403/2).</w:t>
      </w:r>
    </w:p>
    <w:p>
      <w:r>
        <w:t>Letzteres wurde von der Beschwerdegegnerin ebenso hervorgehoben, wie die Aussage des Konkursamtes, der Verlust werde voraussichtlich ein treten (E.</w:t>
      </w:r>
    </w:p>
    <w:p>
      <w:r>
        <w:t>4.1) . Sie ist der Ansicht, sie habe g estützt darauf noch nicht ausreichend Kenntnis vom Schaden nehmen können ( E.</w:t>
      </w:r>
    </w:p>
    <w:p>
      <w:r>
        <w:rPr>
          <w:b/>
        </w:rPr>
        <w:t>E. 4.2.2</w:t>
      </w:r>
    </w:p>
    <w:p>
      <w:r>
        <w:t>Nach dem voran Ausgeführten wurde der Beschwerdegegnerin mit dem Schreiben des Konkursamtes vom 29. September 2016 (Urk. 11/403) somit unmissverständ lich mitgeteilt, dass sie mit ihrer Forderung voraussichtlich vollständig zu Verlust kommen werde. Mit dem genannten Schreiben wurden die Gläubigerinnen und Gläubiger ebenfalls aufgefordert , über die Anträge der Konkursverwaltung zu Inventarpositionen und zu Passivprozessen in der Form von Zirkularbeschlüsse zu entscheiden (Urk. 11/403/2-4) . Gemäss dem damit verbundenen Hinweis des Konkursamtes bedeutete Stillschweigen Zustimmung zu den Anträgen (Urk. 11/403/5). Die Beschwerdegegnerin bringt vor, für die Gläubigerinnen und Gläubiger habe noch eine Einsprache möglichkeit</w:t>
      </w:r>
    </w:p>
    <w:p>
      <w:r>
        <w:t>bestanden (E.</w:t>
      </w:r>
    </w:p>
    <w:p>
      <w:r>
        <w:t>4.1).</w:t>
      </w:r>
    </w:p>
    <w:p>
      <w:r>
        <w:t>Bei den An trägen betreffend Inventarpositionen ging es um bestrittene beziehungsweise schwer einbringliche Guthaben, Verantwortlichkeitsansprüche und Ansprüche aus einer Debito renzession respektive eine m Factoring-Vertrag. Das Konkursamt beantragte, die Konkursmasse solle auf die Geltendmachung dieser Forderungen verzichten. In seiner schlüssigen Begründung zeigte es für jeden dieser An sprüche auf, dass sich die Durchsetzung wegen der nicht respektive kaum vor han denen B eweismittel sowie der aufwendigen und kostspieligen Verfahren nicht lohnen wü rde (Urk. 11/403/2-4). Bei den Passivprozessen ging es um drei arbeits recht liche For derungen. Diesbezüglich beantragte das Konkursamt im Wesent lichen, dass die Konkursmasse auf die gegen den G emeinschuldner gerichteten Prozess verfahren nicht eintrete . Es führte weiter aus, dass die entsprechenden Forderun gen der Kläger noch nicht beim Konkursamt geltend gemacht worden seien. Sofern die Forderungen bis zum Abschluss des Verfahrens geltend gemacht werden sollten, werde beantragt, die die entsprechenden For de rungen des Klägers zur Kollokation anzuerkennen (Urk.</w:t>
      </w:r>
    </w:p>
    <w:p>
      <w:r>
        <w:t>11/403/2). Und schliess lich behielt sich d as Konkursamt vor, von den Gläubigerinnen und Gläubiger n für die notwendig werdenden Rechtshandlungen Geld zu verlangen, sollten diese - entgegen ihren Anträgen - beschliessen, die Konkursmasse solle die erwähnten Ansprüche weiter geltend machen (Urk.</w:t>
      </w:r>
    </w:p>
    <w:p>
      <w:r>
        <w:t>11/403/5). Diesen Ausführungen des Konkursamtes ist nichts zu entnehmen, was die Gläubigerin und Gläubiger vernünftigerweise dazu bewegt haben könnte, gegen Anträgen des Konkursamtes Einsprache zu erheben oder die Ab tretung der Ansprüche nach Art. 260 SchKG zu verlangen. Zudem hätte</w:t>
      </w:r>
    </w:p>
    <w:p>
      <w:r>
        <w:t>- und dies ist entscheidend - gemäss den begründeten Ausführungen des Konkursamtes</w:t>
      </w:r>
    </w:p>
    <w:p>
      <w:r>
        <w:t>wegen der kaum vorhandenen Durchsetzungsmöglichkeiten über wiegend wahrschlich auch dann keine höhere Dividende für die Beschwerde geg nerin resultiert, wenn die genannten Ansprüche von der Konkursmasse oder einer Gläubigerin oder einen Gläubiger weiter geltend gemacht worden wäre n . Das Vorbringen der Beschwerdegegnerin, wonach noch gegen die Anträge des Konkursamtes im Schreiben vom 29. September 2016 hätte Einsprache erhoben werden können, greift somit zu kurz.</w:t>
      </w:r>
    </w:p>
    <w:p>
      <w:r>
        <w:rPr>
          <w:b/>
        </w:rPr>
        <w:t>E. 4.2.3</w:t>
      </w:r>
    </w:p>
    <w:p>
      <w:r>
        <w:t>Demnach liess bereits das Schreiben des Konkursamtes vom 29.</w:t>
      </w:r>
    </w:p>
    <w:p>
      <w:r>
        <w:t>September 2016 in jeglicher Hinsicht auf einen vollständigen Forderungsverlust der Beschwerde gegnerin schliessen. Alsdann k onnte die Beschwerdegegnerin im zweiten Zir ku larschreiben des Konkursamtes vom 30.</w:t>
      </w:r>
    </w:p>
    <w:p>
      <w:r>
        <w:t>Juni 2017 nachlesen, dass der Kollo ka tionsplan am 30.</w:t>
      </w:r>
    </w:p>
    <w:p>
      <w:r>
        <w:t>September 2016 aufgelegt und - da keine Kollokationsklagen eingereicht worden seien - rechtskräftig wurde (Urk.</w:t>
      </w:r>
    </w:p>
    <w:p>
      <w:r>
        <w:t>11/406/1). Mit demselben S chreiben wurde d e n Gläubigerinnen und Gläubiger n</w:t>
      </w:r>
    </w:p>
    <w:p>
      <w:r>
        <w:t>mitgeteilt, dass noch Ver mögen zum Vorschein gekommen sei. Diesbezüglich beantragte d as Konkursamt, das Ver gleichsangebot einer Schuldnerin der Konkursitin - bestehend in der Bezahlung von Fr.</w:t>
      </w:r>
    </w:p>
    <w:p>
      <w:r>
        <w:t>1'500.--</w:t>
      </w:r>
    </w:p>
    <w:p>
      <w:r>
        <w:t>für die Rückzahlung ihres Verlustscheines -</w:t>
      </w:r>
    </w:p>
    <w:p>
      <w:r>
        <w:t>anzu neh men (Urk. 11/406/ 2 ). Mit diesem Vergleich sollte eine Forderung der Konkursitin ,</w:t>
      </w:r>
    </w:p>
    <w:p>
      <w:r>
        <w:t>welche sich auf total Fr. 5'178.85 inklusive Zins und Kosten belief, beglichen werden (Urk. 11/406/1). Angesicht der im Schreiben vom 29. September 2016 aufgeführten Zahlen (pfandgesicherte Forde rungen: Fr. 9'480.30, Forderungen der</w:t>
      </w:r>
    </w:p>
    <w:p>
      <w:r>
        <w:rPr>
          <w:b/>
        </w:rPr>
        <w:t>E. 5</w:t>
      </w:r>
    </w:p>
    <w:p>
      <w:r>
        <w:t>). Gegen die ihn betref fende Schadenersatzverfü gung erhob X.___ am 8. Novem ber 2018 Ein sprache (Urk. 11/ 447 ). Weil der Einsprecher geltend machte, die Beitragsforde rungen für die Jahre 2014 und 2015 seien nicht nach vollziehbar, stellte die Aus gleichskasse seiner Rechtsvertre tung mit Schreiben vom 21.</w:t>
      </w:r>
    </w:p>
    <w:p>
      <w:r>
        <w:t>November 2018 den Bericht über die Arbeitgeber kontrolle vom 1 9. Mai 2015 und weitere für die Bei tragsfestsetzung massgebende Unterlagen zur Stellung nahme zu (Urk. 11/449 ). Der Einsprecher liess sich mit Eingabe vom 21.</w:t>
      </w:r>
    </w:p>
    <w:p>
      <w:r>
        <w:t>Dezember 2018 vernehmen ( Urk. 11/ 454 ).</w:t>
      </w:r>
    </w:p>
    <w:p>
      <w:r>
        <w:t>D ie Ausgleichskasse wies die Ein sprache mit Einsprache entscheid vom 5 . November 2021 ab (Urk. 2 ) . 2.</w:t>
      </w:r>
    </w:p>
    <w:p>
      <w:r>
        <w:t>2.1</w:t>
      </w:r>
    </w:p>
    <w:p>
      <w:r>
        <w:t>Dagegen erhob X.___ mit Eingabe vom 6. Dezember 2021 ( Urk. 1) Beschwerde. Er beantragte, dass der Einspracheentscheid vom 5. November 2021 (ersatzlos) aufzuheben sei. Eventualiter sei der Einspracheentscheid aufzuheben und die Sache zu weiteren Abklärungen an die Beschwerdegegnerin zurückzu weisen. In verfahrensrechtlicher Hinsicht beantragte er die Gewährung der unent geltlichen Rechtspflege und Bestellung eines unentgeltlichen Rechts ver treters in der Person von Rechtsanwalt Gabriel Hüni , Baden (Urk. 1 S. 2).</w:t>
      </w:r>
    </w:p>
    <w:p>
      <w:r>
        <w:t>Der Beschwerdeführer reichte mit dieser Eingabe unter anderem das ausgefüllte Formular zur Abklärung der prozessualen Bedürftigkeit (Urk. 5) und Belege zur Substantiierung seines Gesuchs um Bewilligung der unentgeltlichen Rechtspflege (Urk. 6/9-15) ein. 2 .2</w:t>
      </w:r>
    </w:p>
    <w:p>
      <w:r>
        <w:t>Die Beschwerdegegnerin führte in ihrer Beschwerdeantwort vom 25. März 2022 insbesondere aus, dass sich der Schaden auf Fr. 73'014.05 reduziere (Urk. 10 S. 3). Deswegen beantragte sie teilweise Gutheissung der Beschwerde (Urk. 10 S. 4, unter Beilage der Kassenakten, Urk. 11/1-468). 2.3</w:t>
      </w:r>
    </w:p>
    <w:p>
      <w:r>
        <w:t>Mit V erfügung vom</w:t>
      </w:r>
    </w:p>
    <w:p>
      <w:r>
        <w:t>1. April 2022 wurde dem Beschwerdeführer in Bewil ligung des Gesuchs vom 6. Dezember 2021 Rechtsanwalt Gabriel Hüni als unent gelt licher Rechtsvertreter für das vorliegende Verfahren bestellt. Mit derselben Verfügung wurde ein zweiter Schriftenwechsel angeordnet und dem Beschwer de führer Frist zur Replik angesetzt ( Urk. 12). 2.4</w:t>
      </w:r>
    </w:p>
    <w:p>
      <w:r>
        <w:t>Der Beschwerdeführer reichte mit Eingabe vom 6. Mai 2022 (Urk. 13) eine Replik ein. 2.5</w:t>
      </w:r>
    </w:p>
    <w:p>
      <w:r>
        <w:t>Die Beschwerdegegnerin erklärte m it ihrer Eingabe vom 1. Juni 2022, dass sie auf das Einreichen einer Duplik verzichte (Urk. 17). 2.6</w:t>
      </w:r>
    </w:p>
    <w:p>
      <w:r>
        <w:t>Mit Verfügung vom 3. Juni 2022 wurde Y.___ zum Prozess bei geladen ( Urk. 19). 2.7</w:t>
      </w:r>
    </w:p>
    <w:p>
      <w:r>
        <w:t>Die Beigeladene beantragte mit ihrer Stellungnahme vom 2 8. Juli 2022, dass die Beschwerde des Beschwerdeführers vom 6. Dezember 2021 gutzuheissen sei. Ferner beantragte sie, die Beschwerdegegnerin sei zu verpflichten, ihr für die anwaltlichen Aufwendungen eine angemessene Parteientschädigung zu bezahlen ( Urk. 26). Den übrigen Verfahrensbeteiligten wurde eine Kopie dieser Eingabe zugestellt ( Urk. 27). 3.</w:t>
      </w:r>
    </w:p>
    <w:p>
      <w:r>
        <w:t>Auf die Vorbringen der Verfahrensbeteiligten und die eingereichten Unterlagen wird, soweit erforderlich in den nachfolgenden Erwägungen eingegangen. Das Gericht zieht in Erwägung: 1 . 1 .1</w:t>
      </w:r>
    </w:p>
    <w:p>
      <w:r>
        <w:t>Nach Art. 52 Abs. 1 des Bundesgesetzes über die Alters- und Hinterlassen 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gleichen Schaden verantwortlich, so haften sie für den ganzen Schaden solida risch (Art. 52 Abs. 2 AHVG). 1 .2</w:t>
      </w:r>
    </w:p>
    <w:p>
      <w:r>
        <w:t>Die Vorschriften über die Arbeitgeberhaftung nach Art. 52 AHVG sowie die dazu entwickelte Rechtsprechung des Bundesgerichts finden mangels eigener Bestim mungen sinngemäss Anwendung auf die Invaliden ver sicherungs -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Familienzu lagen (Art. 25 lit . c FamZG ). 2.</w:t>
      </w:r>
    </w:p>
    <w:p>
      <w:r>
        <w:t>2.1</w:t>
      </w:r>
    </w:p>
    <w:p>
      <w:r>
        <w:t>Die subsidiäre Haftung eines Organes nach Art. 52</w:t>
      </w:r>
    </w:p>
    <w:p>
      <w:r>
        <w:t>Abs. 2 AHVG besteht grundsätzlich dann, wenn bei der Ausgleichskasse durch eine adäquat kausale, auf ein qualifiziert schuldhaftes Verhalten des Organs zurückzuführende Ver letzung von Arbeitgeberpflichten gemäss dem AHVG und der Verordnung über die Alters- und Hinterlassenenversicherung (AHVV) ein</w:t>
      </w:r>
    </w:p>
    <w:p>
      <w:r>
        <w:t>Schaden - bestehend aus ihr entgangenen Sozialver siche rungsbeiträgen und Nebenkosten -</w:t>
      </w:r>
    </w:p>
    <w:p>
      <w:r>
        <w:t>eingetreten ist . Die zuständige Ausgleichskasse macht den Schadenersatz durch Erlass einer Ver fügung geltend ( Art. 52 Abs. 4 AHVG), wobei sie die Verjährungsfristen gemäss Art. 52 Abs. 3 AHVG zu beachten hat. 2.2</w:t>
      </w:r>
    </w:p>
    <w:p>
      <w:r>
        <w:t>Die eingangs wiedergegeben Haftungsvoraussetzungen müssen somit nur dann geprüft werden , von die von Beschwerdegegnerin gegenüber dem Beschwerde führer nunmehr geltend gemachte Schadenersatzforderung in der Höhe von Fr. 73'014.05 (Urk. 10 S. 3) bei Erlass der Ver fügung</w:t>
      </w:r>
    </w:p>
    <w:p>
      <w:r>
        <w:t>vom 2. Oktober 2018 (Urk.</w:t>
      </w:r>
    </w:p>
    <w:p>
      <w:r>
        <w:t>11/431/1-3) noch nicht verjährt war. Es rechtfertigt sich daher, zunächst die Frage der Verjährung zu prüfen. 3.</w:t>
      </w:r>
    </w:p>
    <w:p>
      <w:r>
        <w:rPr>
          <w:b/>
        </w:rPr>
        <w:t>E. 10</w:t>
      </w:r>
    </w:p>
    <w:p>
      <w:r>
        <w:t>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