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AK.2021.00003 vom 1. Dezember 2002</w:t>
      </w:r>
    </w:p>
    <w:p>
      <w:r>
        <w:t>ZH Sozialversicherungsgericht, 2002-12-01, DE</w:t>
      </w:r>
    </w:p>
    <w:p>
      <w:r>
        <w:rPr>
          <w:b/>
        </w:rPr>
        <w:t xml:space="preserve">Quelle: </w:t>
      </w:r>
      <w:r>
        <w:t>https://mcp.opencaselaw.ch/entscheid/zh_sozialversicherungsgericht_AK.2021.00003</w:t>
      </w:r>
    </w:p>
    <w:p>
      <w:r>
        <w:t>FR: ZH_SOZIALVERSICHERUNGSGERICHT AK.2021.00003 du 1 décembre 2002</w:t>
      </w:r>
    </w:p>
    <w:p>
      <w:r>
        <w:t>IT: ZH_SOZIALVERSICHERUNGSGERICHT AK.2021.00003 del 1 dicembre 2002</w:t>
      </w:r>
    </w:p>
    <w:p>
      <w:pPr>
        <w:pStyle w:val="Heading2"/>
      </w:pPr>
      <w:r>
        <w:t>Erwägungen</w:t>
      </w:r>
    </w:p>
    <w:p>
      <w:r>
        <w:rPr>
          <w:b/>
        </w:rPr>
        <w:t>E. 1</w:t>
      </w:r>
    </w:p>
    <w:p>
      <w:r>
        <w:t>1. Dezember 2002 einziges Mitglied des Verwaltungsrates der Aktiengesellschaft Y.___ , welche der Sozi alversicherungsanstalt des Kantons Zürich, Ausgleichskasse, seit Januar 2009 (vgl. Urk.</w:t>
      </w:r>
    </w:p>
    <w:p>
      <w:r>
        <w:rPr>
          <w:b/>
        </w:rPr>
        <w:t>E. 1.1</w:t>
      </w:r>
    </w:p>
    <w:p>
      <w:r>
        <w:t>Nach Art. 52 Abs. 1 des Bundesgesetzes über die Alters- und Hinterlassenen - versicherung ( AHVG ) hat ein Arbeitgeber, der durch absichtliche oder grobfahr läs sige Missachtung von Vorschriften der Versicherung einen Schaden zufügt, die sen zu ersetzen. Handelt es sich beim Arbeitgeber um eine juristische Person, so haften subsidiär die Mitglieder der Verwaltung und alle mit der Geschäftsfüh rung oder Liquidation befassten Personen. Sind mehrere Personen für den glei 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Arbeitslosenversi cherungsbeiträge (Art. 6 des Bundesgesetzes über die obligatorische Arbeitslo senversicherung und die Insolvenzentschädigung, AVIG) sowie auf jene an die Familienausgleichskassen (FAK) gemäss dem Bundesgesetz über die Familienzu lagen (Art. 25 lit . c FamZG ).</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 wirkt sind (vgl. beispielsweise BGE 112 V 156, 98 V 26) oder wenn ihre Entrich tung wegen Zahlungsunfähigkeit der beitragspflichtigen Arbeitgeberin nicht mehr möglich ist (vgl. beispielsweise BGE 121 V 234, 240; BGE 141 V 487 E. 2.2). Im ersten Fall gilt der Schaden als eingetreten, sobald die Beiträge verwirkt sind (BGE 123 V 12 E. 5b, 168 E. 2a, 112 V 156 E. 2, 108 V 189 E. 2d, je mit Hinwei sen). Im zweiten Fall gilt der Schadenseintritt als erfolgt, sobald die Beiträge wegen der Zahlungsunfähigkeit der Arbeitgeberin nicht mehr im ordentlichen Verfahren nach Art. 14 ff. AHVG erhoben werden können, in der Regel mit der Ausstellung eines Pfändungsverlustscheins oder der Konkurseröffnung über die Arbeitgeberin (BGE 136 V 268 E. 2.6 mit Hinweisen, BGE 123 V 12 E. 5b, 168 E. 2a, 113 V 256 E. 3a, 112 V 156 E. 2).</w:t>
      </w:r>
    </w:p>
    <w:p>
      <w:r>
        <w:rPr>
          <w:b/>
        </w:rPr>
        <w:t>E. 1.2.2</w:t>
      </w:r>
    </w:p>
    <w:p>
      <w:r>
        <w:t>Am 1. Januar 2020 sind die geänderten Bestimmungen des Obligationenrechts (OR) über die Verjährung in Kraft getreten. Gleichzeitig erhielt die Verjährun gs bestimmung von Art. 52 Abs. 3 AHVG</w:t>
      </w:r>
    </w:p>
    <w:p>
      <w:r>
        <w:t>eine neue Fassung (Verweis auf die Bestimmungen des OR ü ber die unerlaubten Handlungen, Art. 60 OR ).</w:t>
      </w:r>
    </w:p>
    <w:p>
      <w:r>
        <w:t>Da sich der hier zu beurteilende Sachverhalt vor dem 1. Januar 2020 verwirklicht hat (vgl. nachfolgend E. 2 .2 ) , bleibt die erfolgte Gesetzesänderung indes unbe rücksichtigt (vgl. Art. 49 Schlusstitel: Anwendungs- und Einführungsbestim mungen zum Zivilgesetzbuch , ZGB ; vgl. zum Übergangsrecht von a Art . 82 Abs. 1 der Verordnung über die Alters- und Hinterlassenenversicherung [ AHVV ] in der bis Ende 2002 gültig gewesenen Fassung: BGE 131 V 425 ).</w:t>
      </w:r>
    </w:p>
    <w:p>
      <w:r>
        <w:t>Nach a Art . 52 Abs. 3 AHVG in der bis zum 31. Dezember 2019 gültig gewesenen und vorliegend anwendbaren Fassung verjährt der Schadenersatzanspruch zwei Jahre, nachdem die zuständige Ausgleichskasse vom Schaden Kenntnis erhalten hat, spätestens aber fünf Jahre nach Eintritt des Schadens. Diese Fristen können unterbrochen werden. Die Arbeitgeberin kann auf die Einrede der Verjährung verzichten. Sieht das Strafrecht eine längere Frist vor, so gilt diese.</w:t>
      </w:r>
    </w:p>
    <w:p>
      <w:r>
        <w:rPr>
          <w:b/>
        </w:rPr>
        <w:t>E. 1.2.3</w:t>
      </w:r>
    </w:p>
    <w:p>
      <w:r>
        <w:t>), kommt diesbezüglich sodann auch dem vom B eschwerdeführer mit Kollokationsklage vom 1 1. Mai 2017</w:t>
      </w:r>
    </w:p>
    <w:p>
      <w:r>
        <w:t>( zunächst ) beim Bezirksgericht Hinwil anhängig gemachten Verfahren mit dem Rechtsbegehren, es sei die mit Fr. 208'972.-- zur Kollokation gemeldete Forderung der Beschwerdegegnerin lediglich im Betrag von maximal Fr. 100'000. -- zuzulassen ( Urk. 8/1020/8-9; vgl. dazu auch die klageabweisende Verfügung des Bezirksgerichts Hinwil vom</w:t>
      </w:r>
    </w:p>
    <w:p>
      <w:r>
        <w:t>7. Juni 2017, Urk. 8/1020/1-7 , das Urteil des Bundesgerichts 5D_245/2017 vom 1. Dezember 2017, Urk. 8/1029, und die Verfügung des Obergerichts des Kantons Zürich vom 1 2. Dezember 2017, Urk. 8 /1031 ), keine Bedeutung zu.</w:t>
      </w:r>
    </w:p>
    <w:p>
      <w:r>
        <w:t>3.</w:t>
      </w:r>
    </w:p>
    <w:p>
      <w:r>
        <w:t>Der angefochtene Einspracheentscheid vom 2 0. Januar 2021 betreffend Schaden ersatz ist demnach ersatzlos aufzuheben.</w:t>
      </w:r>
    </w:p>
    <w:p>
      <w:r>
        <w:t>Die Beschwerde ist gutzuheissen. Das Gericht erkennt: 1.</w:t>
      </w:r>
    </w:p>
    <w:p>
      <w:r>
        <w:t>In Gutheissung der Beschwerde wird der Einspracheentscheid vom 2 0. Januar 2021 betreffend Schadenersatz ersatzlos aufgehoben.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 gen seit der Zustellung beim Bundesgericht Beschwerde eingereicht werden (Art. 82 ff., insbesondere Art. 85, in Verbindung mit Art. 90 ff. des Bundesgesetzes über das Bun 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r>
        <w:rPr>
          <w:b/>
        </w:rPr>
        <w:t>E. 2</w:t>
      </w:r>
    </w:p>
    <w:p>
      <w:r>
        <w:t>7. Juni 2019 fo rderte die Ausgleichskasse von X.___ (als Einzelhafter )</w:t>
      </w:r>
    </w:p>
    <w:p>
      <w:r>
        <w:t>Schadenersatz für entgangene Sozialversiche rungsbeiträge einschliesslich Inkassokost en in der Höhe von Fr. 187'488.60 (Urk. 8/1040 /3-5 ). Die dagegen von X.___ am 1 2. Juli respektive 2 9. September 2019 erhobene Einsprac he (Urk. 8/1042, Urk. 8/104</w:t>
      </w:r>
    </w:p>
    <w:p>
      <w:r>
        <w:rPr>
          <w:b/>
        </w:rPr>
        <w:t>E. 2.1</w:t>
      </w:r>
    </w:p>
    <w:p>
      <w:r>
        <w:t>Vorweg ist festzuhalten, dass vorliegend nur die Wahrung der zweijährigen Ver jährungsfrist seit Kenntnis des Schadens gemäss</w:t>
      </w:r>
    </w:p>
    <w:p>
      <w:r>
        <w:t>a Art . 52 Abs. 3 AHVG zur Dis kussion steht . Die fünfjährige Fri st von a Art . 52 Abs. 3 AHVG wurde mit Erlass der Schadenersatzverfügung am 2 7. Juni 2019 bzw. Einspracheentscheid vom 2 0. Januar 2021 offensichtlich gewahrt . Die von Amtes wegen vorfrageweise zu prüfende Frage, ob die Schadenersatzforderung für entgangene Beiträge im Zusammenhang mit einem strafrechtlich relevanten Verhalten steht und daher nach a Art . 52 Abs. 4 AHVG eine längere Verjährungsfrist gelten würde, ist zu verneinen. Weder hat die Ausgleichskasse diese Frage aufgeworfen und dazu sachdienliche Unterlagen eingereicht noch enthalten die Akten diesbezüglich e Hinweise. Insbeso n dere betraf das vom Konkursamt veranlasste Strafuntersu chungsverfahren keine Handlungen in Zusammenhang mit der fehlenden Bezah lung von Lohnbeiträgen (vgl. BGE 135 V 74 E. 4.3 in fine ).</w:t>
      </w:r>
    </w:p>
    <w:p>
      <w:r>
        <w:rPr>
          <w:b/>
        </w:rPr>
        <w:t>E. 2.2</w:t>
      </w:r>
    </w:p>
    <w:p>
      <w:r>
        <w:t>Im Schweizerischen Handelsamtsblatt (SHAB) wurde am 2 4. A pril 2017 publi ziert, dass der Kollokationsplan im Konkursverfahren der</w:t>
      </w:r>
    </w:p>
    <w:p>
      <w:r>
        <w:t>Aktiengesellschaft Y.___ 20 Tage aufliege. Die Auflage des Konkursinventars erfolge zu einem späteren Z eitpunkt ( Urk. 8/1015). Mit Schreiben vom 4. Mai 2017 teilte die Beschwerdegegnerin dem Konkursamt Wald ZH unter Hinweis auf die Publi kation des Kollokationsplans mit, dass eine allfällige Schadenersatzklage gegen die Verantwortlichen geprüft werde. Die Beschwerdegegnerin bitte deshalb um Angaben des Konkursamtes , ob bzw. in welchem Ausmass sie zu Schaden kommen werde ( Urk. 8/1016). Mit Eingabe vom 9. M ai 2017 teilte das Kon kursamt Wald ZH der Beschwerdegegnerin mit, dass sie</w:t>
      </w:r>
    </w:p>
    <w:p>
      <w:r>
        <w:t>voll zu Schaden kommen werde ( Urk. 8/1017). Am 1 5. Juni 2017 berichtete der Revisor über die Arbeitge berkontrolle und stellte die Lohndek laration 2016 in Aussicht (Urk. 8/1019), wel che am 2 0. Juni 2017 eingereicht wurde ( Urk. 8/1021), woraus sich in Bezug zu den Akontorech n ungen 2 017 ein Differenzbetrag von Fr. 6'471.50 zugunsten der Konkursitin ergab, was die Beitragsforderung der Beschwerdegegnerin auf Fr. 202'500.50 reduzierte ( Urk. 8/1022). Am 1 7. Juli 2017 wurde im SHAB publi ziert, dass das Inventar im Konkursverfahren der Aktiengesellschaft Y.___</w:t>
      </w:r>
    </w:p>
    <w:p>
      <w:r>
        <w:rPr>
          <w:b/>
        </w:rPr>
        <w:t>E. 2.3</w:t>
      </w:r>
    </w:p>
    <w:p>
      <w:r>
        <w:t>Aufgrund des Eintrags im Aktenverzeichnis (« Dok - Eing .-Datum») steht fest, dass der Beschwerdegegnerin die Eingabe des Konkursamtes Wald ZH vom 9. Mai 2017 ( Urk. 8/101 7), mit welcher sie Kenntnis vom Schaden erhielt, am 1 0. Mai 2017 zugestellt wurde. Die</w:t>
      </w:r>
    </w:p>
    <w:p>
      <w:r>
        <w:t>Verjährungsfrist von zwei Jahren gemäss a Art . 52</w:t>
      </w:r>
    </w:p>
    <w:p>
      <w:r>
        <w:t>Abs. 3 AHVG</w:t>
      </w:r>
    </w:p>
    <w:p>
      <w:r>
        <w:t>begann daher am 1 0. Mai 2017 zu laufen und endete am</w:t>
      </w:r>
    </w:p>
    <w:p>
      <w:r>
        <w:t>1 1. Mai 201 9. Die mit Verfügung vom 2 7. Juni 2019 (Urk. 8/1040 /3-5 ) geltend gemachte Schadenersatzforderung ist damit verjährt.</w:t>
      </w:r>
    </w:p>
    <w:p>
      <w:r>
        <w:rPr>
          <w:b/>
        </w:rPr>
        <w:t>E. 2.4</w:t>
      </w:r>
    </w:p>
    <w:p>
      <w:r>
        <w:t>Entgegen dem Vorbringen der Beschwerdegegnerin ( Urk. 7) war das Urteil der Konkursrichte rin des Bezirksgerichts Hinwil vom 1 6. Juli 2018, mit welchem das Konkursverfahren als geschlossen erklärt wurde, für den Zeitpunkt der</w:t>
      </w:r>
    </w:p>
    <w:p>
      <w:r>
        <w:t>Schaden s kenntnis nicht massgebend. Da die Verjährungsfrist bereits bei zumutbarer Kenntnis eines allfälligen Teilschadens zu laufen beginnt (vgl. E .</w:t>
      </w:r>
    </w:p>
    <w:p>
      <w:r>
        <w:rPr>
          <w:b/>
        </w:rPr>
        <w:t>E. 4</w:t>
      </w:r>
    </w:p>
    <w:p>
      <w:r>
        <w:t>und Urk. 8/104</w:t>
      </w:r>
    </w:p>
    <w:p>
      <w:r>
        <w:rPr>
          <w:b/>
        </w:rPr>
        <w:t>E. 7</w:t>
      </w:r>
    </w:p>
    <w:p>
      <w:r>
        <w:t>) wies die Ausgleichskasse mit Entscheid vom 2 0. Januar 2021 (Urk. 2) ab. 2.</w:t>
      </w:r>
    </w:p>
    <w:p>
      <w:r>
        <w:t>Dagegen erhob X.___ mit Eingabe vom 2 7. Februar 2021 Beschwerde und beantragte sinngemäss , es sei der angefochtene Entscheid aufzuheben und festzustellen, dass die von der Beschwerdegegnerin e rhobene Scha denersatzf orderung verjährt sei; e ventue ll sei die Sache zu weiteren Abklä rungen an die Beschwerdegegnerin zurückzuweisen. In prozessualer Hinsicht ersucht e er um Durchführung eines zweiten Schriftenwechsels ( Urk. 1 S. 1 ). Die Beschwer degegnerin beantragte mit Beschwer deantwort vom 1 5. April 2021 die Abwei sung der Beschwerde ( Urk. 7) . Mit Verfügung vom 2 1. April 2021 stellte das Gericht dem Beschwerdeführer die Beschwerdeantwort zu. Gleichzeitig hielt es fest, dass es die Anordnung eines weiteren Schriftenwechsels nicht als erfor der lich erachte. Den Parteien bleibe es jedoch unbenommen, sich nochmals zur Sache zu äussern und weitere sachbezogen e Unterlagen einzureichen (Urk. 9). Am 2 7. September und 1 5. Oktober 2021 reichte der Beschwerdeführer Stellung nahmen ein</w:t>
      </w:r>
    </w:p>
    <w:p>
      <w:r>
        <w:t>( Urk. 15-16) , welche der Beschw erdegegnerin am 20. Oktober 2021 zur Kenntnis gebracht wurden ( Urk. 18). 3.</w:t>
      </w:r>
    </w:p>
    <w:p>
      <w:r>
        <w:t>Auf die Vorbringen der Parteien und die eingereichten Akten wird, soweit erfor derlich, im Rahmen der nachfolgenden Erwägungen eingegangen. Das Gericht zieht in Erwägung: 1.</w:t>
      </w:r>
    </w:p>
    <w:p>
      <w:r>
        <w:rPr>
          <w:b/>
        </w:rPr>
        <w:t>E. 10</w:t>
      </w:r>
    </w:p>
    <w:p>
      <w:r>
        <w:t>Tage aufliege ( Urk. 8/1025).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