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AK.2018.00019 vom 6. August 2019</w:t>
      </w:r>
    </w:p>
    <w:p>
      <w:r>
        <w:t>ZH Sozialversicherungsgericht, 2019-08-06, DE</w:t>
      </w:r>
    </w:p>
    <w:p>
      <w:r>
        <w:rPr>
          <w:b/>
        </w:rPr>
        <w:t xml:space="preserve">Quelle: </w:t>
      </w:r>
      <w:r>
        <w:t>https://mcp.opencaselaw.ch/entscheid/zh_sozialversicherungsgericht_AK.2018.00019</w:t>
      </w:r>
    </w:p>
    <w:p>
      <w:r>
        <w:t>FR: ZH_SOZIALVERSICHERUNGSGERICHT AK.2018.00019 du 6 août 2019</w:t>
      </w:r>
    </w:p>
    <w:p>
      <w:r>
        <w:t>IT: ZH_SOZIALVERSICHERUNGSGERICHT AK.2018.00019 del 6 agosto 2019</w:t>
      </w:r>
    </w:p>
    <w:p>
      <w:pPr>
        <w:pStyle w:val="Heading2"/>
      </w:pPr>
      <w:r>
        <w:t>Erwägungen</w:t>
      </w:r>
    </w:p>
    <w:p>
      <w:r>
        <w:rPr>
          <w:b/>
        </w:rPr>
        <w:t>E. 1.1</w:t>
      </w:r>
    </w:p>
    <w:p>
      <w:r>
        <w:t>Nach Art. 52 Abs. 1 des</w:t>
      </w:r>
    </w:p>
    <w:p>
      <w:r>
        <w:t>Bundesgesetz es über die Alters- und Hinterlas senen ver siche 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 2.</w:t>
      </w:r>
    </w:p>
    <w:p>
      <w:r>
        <w:t>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 2.2</w:t>
      </w:r>
    </w:p>
    <w:p>
      <w:r>
        <w:t>Der von der Beschwerdegegnerin gelten d gemachte Schaden im Betrag von Fr. 27'897.30 ist den Kassenakten zu entnehmen ( vgl. insbesondere die Beitrags übersicht und den Konto-Auszug vom 17. April 2018 [Urk. 7/388/8-9, Urk. 7/388/12-21]) und blieb seitens des Beschwerdeführers unbestritten ( Urk. 1 S. 4 ). 3.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 unterlagen über die von ihnen an ihre Arbeitnehmer ausbezahlten Löhne zuzustellen, damit die entspre chenden paritätischen Beiträge ermittelt und verfügt werden können. Die Bei tragszahlungs -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vgl. BGE 132 III 523 E. 4.6). 3.2</w:t>
      </w:r>
    </w:p>
    <w:p>
      <w:r>
        <w:t>Aus den Kassenakten (Urk. 7 /1- 411 ) ergibt sich , dass die Konkursitin ihren Ab rechnungspflichten nicht fristgerecht nachkam. Die s galt namentlich für die Ein reichung der Lohndeklarationen 2013 und 2014 (vgl. Urk. 7/322, Urk. 7/324-325). Ins Gewicht fällt zu d em , dass die Konkursitin ihre Zahlungspflichten</w:t>
      </w:r>
    </w:p>
    <w:p>
      <w:r>
        <w:t>nicht vollständig erfül lte. Sie bezahlte die Lohnbeiträge – jedenfalls seit 2010 – regel mässig zu spät und musste mehr fach zur Bezahlung der Beiträge gemahnt und betrieben werden (vgl. die Beitragsübersicht und den Konto-Auszug vom 17. April 2018 [Urk. 7/388/8-9, Urk. 7/388/12-21] ) . Auch unter Berücksichtigung der Konkursdividende (vgl. Urk. 7/382 ) blieben schliesslich Lohnbeiträge und Nebenkosten in der Hö he von Fr. 27'897.30 unbezahlt (E. 2.2 vorstehend).</w:t>
      </w:r>
    </w:p>
    <w:p>
      <w:r>
        <w:t>Damit ist die Z.___ ihren Pflichten als Arbeitgeberin nicht nachgekommen und hat öffent lich-rechtliche Vorschriften missachtet.</w:t>
      </w:r>
    </w:p>
    <w:p>
      <w:r>
        <w:t>Zu prüfen bleibt, ob und inwieweit der dadurch entstandene Schaden auf quali fiziert schuldhaftes Verhalten de s Beschwerdeführer s zurückzuführen ist. 4. 4. 1 4.1.1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als gerechtfertigt erscheinen las sen oder sein Verschulden im Sinne von Absicht oder grober Fahrlässigkeit aus schliessen. In diesem Sinne ist es denkbar, dass ein Arbeitgeber zwar in vorsätz 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4.1.2</w:t>
      </w:r>
    </w:p>
    <w:p>
      <w:r>
        <w:t>Grobe Fahrlässigkeit liegt praxisgemäss vor, wenn ein Arbeitgeber das ausser Acht lässt, was jedem verständigen Menschen in gleicher Lage und unter gleichen Umständen als beachtlich hätte einleuchten müssen. Das Mass der zu ver langen den Sorgfalt ist abzustufen entsprechend der Sorg faltspflicht, die in den kauf männischen Belangen jener Arbeitgeberkategorie, welcher die betreffende Person angehört, üblicherweise erwartet werden kann und muss (BGE 112 V 156 E. 4 mit Hinweisen; vgl. BGE 132 III 523 E. 4.6). 4.1.3</w:t>
      </w:r>
    </w:p>
    <w:p>
      <w:r>
        <w:t>Nicht jedes einer Firma als solcher anzulastende Ver schulden muss auch ein sol ches ihrer sämtlichen Organe sein. Vielmehr hat man abzuwägen, ob und inwie weit eine Handlung der Firma einem bestimmten Organ im Hinblick auf dessen rechtliche und faktische Stellung innerhalb der Firma zuzurechnen ist. Ob ein Organ schuldhaft gehandelt hat, hängt demnach entscheidend von der Verant wortung und den Kompetenzen ab, die ihm von der juristischen Person übertra gen wurden (BGE 108 V 199 E. 3a; ZAK 1985 S. 620 E. 3b). Bei einfachen Ver 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 führung nicht zugleich auch seine Verantwortung als einziges Ver waltungsorgan an den Ge schäftsführer delegieren (BGE 108 V 199 E. 3b). 4.2</w:t>
      </w:r>
    </w:p>
    <w:p>
      <w:r>
        <w:t>4.2.1</w:t>
      </w:r>
    </w:p>
    <w:p>
      <w:r>
        <w:t>Der Beschwerdeführer war vom 1. Juli 2014 bis zur Konkurseröffnung über die</w:t>
      </w:r>
    </w:p>
    <w:p>
      <w:r>
        <w:t>Z.___ am 12. Januar 2016 Präsident des Verwaltungsrates dieser Gesellschaft ( Urk. 3/18, Urk. 7/388/10-11) . Er hatte damit formelle Organstellung. Für die Zeit ab dem 1. Juli 2014 kümmerte sich der Beschwerdeführer um den Zahlungsverkehr mit der Beschwerdegegnerin und die Beitragsausstände ( Urk. 1 S. 9 ; vgl. Urk. 7/239, Urk. 7/262 ).</w:t>
      </w:r>
    </w:p>
    <w:p>
      <w:r>
        <w:t>4.2.2</w:t>
      </w:r>
    </w:p>
    <w:p>
      <w:r>
        <w:t>Der Beschwerdeführer macht geltend , dass er erst mit seiner Wahl zum Ver wal tungsrat am 1. Juli 2014 Organ der Konkursitin geworden sei und die damit ver bundenen Pflichten übernommen habe ( Urk. 1 S. 11). Die im April 2008 gegrün dete Gesellschaft sei aber seit Beginn ihrer Geschäftstätigkeit mit den Zahlungen an die Beschwerdegegnerin in Verzug gewesen . Damals sei die Gesellschaft vom Beigeladenen geführt worden ( Urk. 1 S. 4). In den folgenden Jahren seien die Beitragsausstände immer grösser geworden ( Urk. 1 S. 5). Laut Schreiben der Beschwerdegegnerin vom 7. März 2014 hätten die</w:t>
      </w:r>
    </w:p>
    <w:p>
      <w:r>
        <w:t>Ausstände damals insgesamt Fr.</w:t>
      </w:r>
    </w:p>
    <w:p>
      <w:r>
        <w:t>47'121. 25</w:t>
      </w:r>
    </w:p>
    <w:p>
      <w:r>
        <w:t>betragen ( Urk. 1 S.</w:t>
      </w:r>
    </w:p>
    <w:p>
      <w:r>
        <w:t>6). Aus dem Kontoauszug vom 1 7. Juli 2018 seien sodann Ausstände im Totalbetrag von Fr. 49'595.25 ersichtlich gewesen ( Urk. 1 S. 8).</w:t>
      </w:r>
    </w:p>
    <w:p>
      <w:r>
        <w:t>Für die Beitragsausstände vor seinem Eintritt in den Verwaltungsrat 1. Juli 2014 sei somit allein der Beigeladene verantwortlich (Urk. 1 S. 11). Wäh rend seiner Zeit als Verwaltungsrat der Konkursitin habe sich der Beitragsaus stand</w:t>
      </w:r>
    </w:p>
    <w:p>
      <w:r>
        <w:t>nicht ver grössert. Er habe diesen Ausstand vielmehr reduzieren können ( Urk. 1 S.</w:t>
      </w:r>
    </w:p>
    <w:p>
      <w:r>
        <w:t>1 2 ) .</w:t>
      </w:r>
    </w:p>
    <w:p>
      <w:r>
        <w:t>E r habe im Sommer 2014 die Wahl zwischen zwei Handlungs mög lich keiten gehabt: Er hätte entweder den Geschäftsbetrieb der Ge sell schaft sofort einstellen und die Bilanz deponieren können, oder er hätte versuchen können, die Gesellschaft zu sanieren und dabei die bestehenden Verbindlichkeiten gegenüber der Beschwer degegnerin abzubauen (Urk. 1 S. 12-13 ). Er habe den zweiten Weg eingeschlagen . Dieser habe zu einem Verlust der Beschwerdegegnerin von Fr. 27'897.30 geführt. Hätte er den ersten Weg, mithin die sofortige Überschul dungsanzeige gemäss Art. 725 Abs. 2 des Obligationenrechts ( OR ) , gewählt, so hätte sich folgendes ergeben: Im Zeitpunkt seines Eintritts in den Verwaltungsrat der Konkursitin hätten die Ausstände gegenüber der Beschwerdegegnerin Fr. 49'595.25 betragen. Die Konkursdividende in der Höhe von Fr. 19'159.50 (für die Beschwerdegegnerin) stamme im Wesentlichen aus der Ver wertung der Büro einrichtung der Z.___ . Die Konkursdividende wäre bei einer Kon kurseröffnung im Sommer 2014 nicht höher ausgefallen, als bei der im Januar 201 6 erfolgten Konkurseröffnung. Damit hätte der Verlust der Beschwerdegegne rin bei einer Betriebseinstellung und Überschuldungsanzeige im Sommer 2014 nach Abzug der mutmasslichen Dividende rund Fr. 30'435.75 (Fr. 49'595.25 minus Fr. 19'159.50) betragen und wäre damit höher gelegen, als der heute bestehende Verlust ( Urk. 1 S. 13). 4.2. 3</w:t>
      </w:r>
    </w:p>
    <w:p>
      <w:r>
        <w:t>Diesen Vorbringen des Beschwerdeführers ist zunächst entgegenzuhalten, dass er sich nicht darauf berufen kann, dass für die Beitragsausstände vor seinem Eintritt in den Verwaltungsrat am 1. Juli 2014 (Urk. 3/18) einzig der Beigeladene verant wortlich sei. Der Beschwerdeführer wusste vor der Annahme seines Mandats, dass Beitragsausstände bestanden (Urk. 1 S. 11) . Als Verwaltungsrat hätte er dafür sorgen</w:t>
      </w:r>
    </w:p>
    <w:p>
      <w:r>
        <w:t>müssen, dass nicht nur die laufenden Beiträge bezahlt, sondern auch die bereits entstan denen Beiträge beglichen werden. Es wird nicht zwischen den Bei tragszahlungen, die bei Beginn der Organstellung bereits ausstehend waren, und denjenigen, die erst während der Zeit als Organ entstehen, unterschieden, weil hin sicht lich beider Arten von Verbindlichkeiten die Untätigkeit des Organs regel mässig kausal ist (Marco Reichmuth , Die Haftung des Arbeitgebers und seiner Organe nach Art. 52 AHVG, Diss . Freiburg 2008, S. 67 Rz . 275, mit Hin wei sen auf die Rechtsprechung). Nach der Rechtsprechung des Bundesgerichts besteht (mangels adäquaten Kausalzusammenhangs) indes dann keine Haftung eines Ver waltungsrates , wenn der Schaden im Sinne von Art. 52 AHVG wegen Zahlungs fähigkeit des Unternehmens bereits vor dem Eintritt in den Ver waltungsrat ein getreten war (B GE 119 V 401 4c;</w:t>
      </w:r>
    </w:p>
    <w:p>
      <w:r>
        <w:t>Reichmuth , a.a.O., S. 67 Rz . 277). Der Beschwer deführer macht geltend, dass er im Juli 2014 die «sofortige Über schuldungsan zeige gemäss Art. 725 Abs. 2 OR» hätte wählen können (Urk. 1 S.</w:t>
      </w:r>
    </w:p>
    <w:p>
      <w:r>
        <w:t>13). Der Beschwerdeführer führte dies aber nicht weiter aus und legte ins besondere auch keine Zwischenbilanz aus dieser Zeit auf, welche ausweisen würde, dass die For derungen der Gläubiger der Z.___ damals weder zu Fortführungs- noch zu Veräusserungswerten gedeckt waren ( vgl. Art. 725 Abs. 2 OR). Wie es sich damit verhält, braucht vorliegend nicht weiter abgeklärt zu werden. Die vor liegenden Akten sprechen dafür, dass sich die Z.___ damals zwar in einem Liquiditätsengpass befand (Urk. 1 S. 9 , Urk. 7/262, Urk. 7/326), aber nicht illiquid war. Die Gesellschaft konnte - soweit ersichtlich - bis ins Jahr 2015 Löhne bezahlen (vgl. Urk. 7/322-325) und bis 30. November 2015 Zahlungen an die Beschwerdegegnerin leisten (vgl. S. 2 der Beitrags über sicht vom 17. April 2018 [Urk. 7/388/9]). Hier kann daher nicht davon ge spro chen werden, dass der Scha den wegen faktischer Zahlungsunfähigkeit der Ge sell schaft bereits vor dem Ein tritt des Beschwerdeführers in den Ver waltungsrat per 1. Juli 2014 (Urk. 3/18) eingetreten war . Der Beschwerdeführer hätte daher dafür sorgen müssen, dass sämtliche Beitragsausstände – auch die laufenden –</w:t>
      </w:r>
    </w:p>
    <w:p>
      <w:r>
        <w:t>bezahlt werden. Der Beschwerdeführer bringt schliesslich vor, dass der Schaden der Beschwerde gegnerin bei einem Kon kurs der Z.___ im Juli 2014 nicht kleiner, sogar noch grösser gewesen wäre. Es könne i h m daher nicht zum Vorwurf gemacht werden, dass er die Unternehmung fortgeführt und versucht habe, die Z.___ zu sanieren ( Urk. 1 S. 13). F ür diese Behauptung legte der Beschwer deführer keine Belege auf.</w:t>
      </w:r>
    </w:p>
    <w:p>
      <w:r>
        <w:t>Er rechnet damit, dass im Juli 2014 für die Beschwerdegegnerin dieselbe Konkursdividende wie im Konkurs am 12. Januar 2016 (Urk. 7/354/1) resultiert hätte . Er begründet dies damit, dass beim Konkurs im Wesentlichen das Büromaterial der Z.___ verwertet worden sei ( Urk. 1 S. 13).</w:t>
      </w:r>
    </w:p>
    <w:p>
      <w:r>
        <w:t>Zu berücksichtigen ist aber , dass die zur Konkursmasse gehörenden Ver mögensgegenstände durch öffentlich e Ver steigerung oder, falls die Gläubiger es beschliessen, durch freihändigen Verkauf verwertet werden ( Art. 256 Abs. 1 des Bundesgesetz es übe r Schuldbetreibung und Konkurs, SchKG) , womit der Erlös je nach Verlauf der Versteigerung beziehungsweise des Verkaufs anders ausge fallen wäre.</w:t>
      </w:r>
    </w:p>
    <w:p>
      <w:r>
        <w:t>D as Gericht kann die Höhe des Erlöses einer allfälligen Verwertung des Büromaterials bei einem Konkurs im Juli 2014 nachträglich nicht mehr fest stellen , müsste dazu doch eine Verwertung unter den damals herrschenden Bedingungen durchgeführt werden . Gegen die Behauptung des Beschwerde füh rers, dass bei einer Verwertung nach der Konkurseröffnung im Juli 2014 de r selbe Verwertungserlös wie bei einem Kon kurs am 12. Januar 2016 resultiert hätte, spricht sodann , dass</w:t>
      </w:r>
    </w:p>
    <w:p>
      <w:r>
        <w:t>sich der Wert von Büro material im Laufe der Zeit vermindert. Es ist sodann zu beachten, dass laut der Mitteilung des Konkurs amtes A.___ vom 1 9. April 2019 d ie Gläubiger in der 1. Klasse mit einer Dividende von 100 % und die Gläubiger der 2. Klasse - wozu auch die Beschwerdegegnerin gehörte (vgl. Urk. 7/378/1; Art. 219 Abs. 4 SchKG) - mit einer Dividende von 20 %</w:t>
      </w:r>
    </w:p>
    <w:p>
      <w:r>
        <w:t>rechnen konnten (Urk.</w:t>
      </w:r>
    </w:p>
    <w:p>
      <w:r>
        <w:t>7/377/1) , was zu tief griff (vgl. Urk. 7/382). Wie der Koll o ktions plan</w:t>
      </w:r>
    </w:p>
    <w:p>
      <w:r>
        <w:t>nach einem Konkurs im Juli 2014 ausgesehen hätte bezie hungs weise wie hoch die Dividende der Beschwerde geg nerin damals</w:t>
      </w:r>
    </w:p>
    <w:p>
      <w:r>
        <w:t>ausgefallen wäre, lässt sich nach träglich umso weniger feststellen . Auch aus diesem Vorbringen lässt sich somit nichts zu Gunsten des Beschwerdeführers ableiten.</w:t>
      </w:r>
    </w:p>
    <w:p>
      <w:r>
        <w:t>Kommt hinzu, dass die Beitragsausstände im Zeitpunkt seines Eintretens in den Verwaltungsrat höher waren als angenommen, da nicht nur Akontobeiträge seit 2012 und die Schlussrechnung 2012 (vgl. Auflistung in Urk. 1 S. 8f.) ausstehend waren, sondern die Schlussrechnung für das Jahr 2013 ( Fr. 35'916.5; Urk. 7/388/19) aufgrund verspäteter Abrechnung erst am 2 0. Januar 2015 erge hen konnte. Trotzdem wurden im Jahre 2014 und 2015 laufend Löhne bezahlt, ohne dass die darauf geschuldeten Beiträge abgeführt oder sichergestellt waren. Gemäss Schreiben der Beschwerdegegnerin vom 1 5. Juni 2015 schuldete die Kon kursitin damals insgesamt Fr. 81'121.40 ( Urk. 7/301-302). 4.2.4</w:t>
      </w:r>
    </w:p>
    <w:p>
      <w:r>
        <w:t>Weil der Beschwerdeführer als Verwaltungsrat der Z.___</w:t>
      </w:r>
    </w:p>
    <w:p>
      <w:r>
        <w:t>nicht dafür ge sorgt hat, dass die von dieser Gesellschaft geschuldeten Sozialversicherungs bei träge und Nebenkosten laufend und vollständig bezahlt werden, hat er den Scha den der Beschwerdegegnerin (zumindest grobfahrlässig) verursacht. 5. 5.1</w:t>
      </w:r>
    </w:p>
    <w:p>
      <w:r>
        <w:t>Die Schadenersatzpflicht des Arbeitgebers nach Art. 52 Abs. 1 AHVG setzt voraus, dass zwischen der absichtlichen oder grobfahrlässigen Missachtung von Vorschriften und dem eingetretenen Schaden ein adäquater Kausalzusam men 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5.2</w:t>
      </w:r>
    </w:p>
    <w:p>
      <w:r>
        <w:t>Das vorwerfbare Verhalten des Beschwerdeführers führte zum Schaden der Beschwerdegegnerin. Hätte er dafür gesorgt, dass die Sozialversicherungsbeiträge und Nebenkosten – inklusive der auf den laufenden Lohnzahlungen geschuldeten Beiträge – bezahlt würden, wäre der Schaden nicht eingetreten (vgl. hierzu auch E. 4.2.3 zweiter Teil) . 6.</w:t>
      </w:r>
    </w:p>
    <w:p>
      <w:r>
        <w:t>Diese Erwägungen führen zur Abweisung der Beschwerde. Das Gericht erkennt: 1.</w:t>
      </w:r>
    </w:p>
    <w:p>
      <w:r>
        <w:t>Die Beschwerde wird abgewiesen. 2.</w:t>
      </w:r>
    </w:p>
    <w:p>
      <w:r>
        <w:t>Das Verfahren ist kostenlos. 3.</w:t>
      </w:r>
    </w:p>
    <w:p>
      <w:r>
        <w:t>Zustellung gegen Empfangsschein an: - Rechtsanwalt Sven Lüscher - Sozialversicherungsanstalt des Kantons Zürich, Ausgleichskasse - Y.___ - Bundesamt für Sozialversicherungen 4.</w:t>
      </w:r>
    </w:p>
    <w:p>
      <w:r>
        <w:t>Da der Streitwert unter Fr. 30'000.-- liegt, kann gegen diesen Entscheid innert 30 Tagen seit der Zustellung beim Bundesgericht Beschwerde nach Art. 82 ff. in Ver 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 gericht die sub 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zu enthalten; der angefochtene Entscheid sowie die als Beweis mittel angerufenen Urkunden sind beizulegen, soweit die Partei sie in Händen hat (Art. 42 BGG). Sozialversicherungsgericht des Kantons Zürich Der VorsitzendeDer Gerichtsschreiber HurstHübscher</w:t>
      </w:r>
    </w:p>
    <w:p>
      <w:r>
        <w:rPr>
          <w:b/>
        </w:rPr>
        <w:t>E. 6</w:t>
      </w:r>
    </w:p>
    <w:p>
      <w:r>
        <w:t>/ 1 ).</w:t>
      </w:r>
    </w:p>
    <w:p>
      <w:r>
        <w:rPr>
          <w:b/>
        </w:rPr>
        <w:t>E. 11</w:t>
      </w:r>
    </w:p>
    <w:p>
      <w:r>
        <w:t>. Oktober 201 8 wurde Y.___ zum Prozess bei ge laden und der Beschwerdeführerin das Doppel der Beschwerde antwort vom 9 . Oktober 201 8 zur Kenntnisnahme zugestellt (Urk. 8). Der Beigeladene liess sich innert der angesetzten Frist nicht vernehmen, was den übrigen Verfahrens be tei ligten am 21. November 201 8 mitgeteilt wurde ( Urk. 10). 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