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AK.2018.00014 vom 8. Juli 2015</w:t>
      </w:r>
    </w:p>
    <w:p>
      <w:r>
        <w:t>ZH Sozialversicherungsgericht, 2015-07-08, DE</w:t>
      </w:r>
    </w:p>
    <w:p>
      <w:r>
        <w:rPr>
          <w:b/>
        </w:rPr>
        <w:t xml:space="preserve">Quelle: </w:t>
      </w:r>
      <w:r>
        <w:t>https://mcp.opencaselaw.ch/entscheid/zh_sozialversicherungsgericht_AK.2018.00014</w:t>
      </w:r>
    </w:p>
    <w:p>
      <w:r>
        <w:t>FR: ZH_SOZIALVERSICHERUNGSGERICHT AK.2018.00014 du 8 juillet 2015</w:t>
      </w:r>
    </w:p>
    <w:p>
      <w:r>
        <w:t>IT: ZH_SOZIALVERSICHERUNGSGERICHT AK.2018.00014 del 8 luglio 2015</w:t>
      </w:r>
    </w:p>
    <w:p>
      <w:pPr>
        <w:pStyle w:val="Heading2"/>
      </w:pPr>
      <w:r>
        <w:t>Erwägungen</w:t>
      </w:r>
    </w:p>
    <w:p>
      <w:r>
        <w:rPr>
          <w:b/>
        </w:rPr>
        <w:t>E. 1.1</w:t>
      </w:r>
    </w:p>
    <w:p>
      <w:r>
        <w:t>Nach Art. 52 Abs. 1 des Bundesgesetzes über die Alters- und Hinterlassenenver sicherung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w:t>
      </w:r>
    </w:p>
    <w:p>
      <w:r>
        <w:rPr>
          <w:b/>
        </w:rPr>
        <w:t>E. 1.2</w:t>
      </w:r>
    </w:p>
    <w:p>
      <w:r>
        <w:t>D as Vorbringen der Beschwerdeführerin, der Schadenersatzanspruch werde auf grund des noch nicht abgeschlossenen Konkursverfahrens bestrit ten ( Urk. 1 S. 1) , stösst ins Leere . Es geht nämlich im technischen Sinne nicht um die Haftung für die Beitragsschulden der B.___ . Vielmehr steht die Haftung der Be schwer deführerin für den bei der Beschwerdegegnerin eingetretenen und von ihr selbst verursac hten Schaden zur Diskussion. Die Beschwerdeführer in</w:t>
      </w:r>
    </w:p>
    <w:p>
      <w:r>
        <w:t>wird mit anderen Worten für ihr ei genes Handeln ins Recht gefasst und nicht für die Bei tragsschulden der B.___ . Die Schadenersatzforderung ist damit von der ursprünglichen Beitragsforderung zu unterscheiden; denn sie ist vielmehr als öffentlichrechtliche Verschuldenshaftung sui generis für Schäden, entstanden aus Verletzung von gesetzlich festgelegten Pflichten, zu qualifizieren. Es handelt sich um eine öffentlichrechtliche Haftungsnorm, welche die interne vermögensrecht liche Verantwortlichkeit zwischen zwei Trägern innerhalb der Organisation der AHV regelt (Nussbaumer, Die Haftung des Verwaltungsrates nach Art. 52 AHVG, in: AJP 9/1996, S. 1074). Die beiden Forderungen sind folglich rechtlich nicht identisch. Insbesondere ist zu beachten, dass sie verschiedene Schuldner haben: Die Beiträge wurden von der Arbeitgeberin, der B.___ geschuldet, während das ents prechende Organ – vorliegend die Beschwerdeführer in – den Schadenersatz schuldet . Sodann ist die Ausgleichskasse nach der Rechtsprechung nicht befugt, mit der Geltendmachung ihrer Schadenersatzforderung zuzuwarten bis zu jenem Zeitpunkt, in welchem sie das – grundsätzlich erst bei Absch luss des Konkursverfahrens fest stehende – absolut genaue Ausmass ihres Verlustes kennt (BGE 116 V 72 E. 3b).</w:t>
      </w:r>
    </w:p>
    <w:p>
      <w:r>
        <w:t>2 . 2 . 1</w:t>
      </w:r>
    </w:p>
    <w:p>
      <w:r>
        <w:rPr>
          <w:b/>
        </w:rPr>
        <w:t>E. 2</w:t>
      </w:r>
    </w:p>
    <w:p>
      <w:r>
        <w:t>Gegen den Einspracheentscheid vom 1 9. Juni 2018 erhob X.___ am 1 9. August 2018 Beschwerde und beantragte sinngemäss, der angefochtene Ent scheid sei aufzuheben und es sei auf die Schadenersatzforderung zu verzichten ( Urk. 1 S. 2). Mit Beschwerdeantwort vom 2 0. September 2018 schloss die Aus gleichskasse auf Abweisung der Beschwerde ( Urk. 4), was der Beschwerdeführerin mit Gerichtsverfügung vom 2 4. September 2018 zur Kenntnis gebracht wurde ( Urk. 6).</w:t>
      </w:r>
    </w:p>
    <w:p>
      <w:r>
        <w:rPr>
          <w:b/>
        </w:rPr>
        <w:t>E. 2.1</w:t>
      </w:r>
    </w:p>
    <w:p>
      <w:r>
        <w:t>.3</w:t>
      </w:r>
    </w:p>
    <w:p>
      <w:r>
        <w:t>Sodann ist die Ausgleichskasse nach der Rechtsprechung nicht befugt, mit der Geltendmachung ihrer Schadenersatzforderung zuzuwarten bis zu jenem Zeit punkt, in welchem sie das grundsätzlich erst bei Abschluss des Konkursverfah rens fest stehende absolut genaue Ausmass ihres Verlustes kennt. Viel mehr wird von ihr verlangt, dass sie von dem Zeitpunkt an, in dem sie alle tatsächlichen Umstände über die Existenz, die Be schaffenheit und die wesentlichen Merkmale des Schadens kennt, sich über die Einzelheiten eines allfälligen Schadener satz anspruchs informiert. Dabei hat sie die Schadenersatzver fügung bei ungewisser Konkursdividende derart auszugestalten, dass die Belangten zum Ersatz des gan zen der Ausgleichskasse entgangenen Betrages gegen Abtretung einer allfälligen Kon kursdividende verpflichtet werden. Dieses auch auf den Gebie ten des Zivil rechts und des öffentlichen Rechts gewählte Vor gehen ist vom Bundesgericht aus Gründen der Verfahrensökonomie und der Rechtssicherheit sowie unter dem Ge sichtspunkt der Zielset zung des Schadenersatzrechts auf Forderungen gemäss Art. 52 AHVG und Art. 82 Abs. 1 der Verordnung über die Alters- und Hinterlas senenversicherung (AHVV) sowohl bei Konkursen als auch in Fällen von Nach lassverträgen mit Vermögensabtretung für anwendbar erklärt worden (BGE 116 V 72).</w:t>
      </w:r>
    </w:p>
    <w:p>
      <w:r>
        <w:rPr>
          <w:b/>
        </w:rPr>
        <w:t>E. 2.2</w:t>
      </w:r>
    </w:p>
    <w:p>
      <w:r>
        <w:t>Am 1 2. April 2016 teilte das Konkursamt C.___</w:t>
      </w:r>
    </w:p>
    <w:p>
      <w:r>
        <w:t>der Beschwerdegegnerin mit, sie</w:t>
      </w:r>
    </w:p>
    <w:p>
      <w:r>
        <w:t>werde</w:t>
      </w:r>
    </w:p>
    <w:p>
      <w:r>
        <w:t>mit ihrer Forderung im Konkursverfahren der B.___ ver mutlich vollumfänglich zu Schaden komme n ( Urk. 5/181). Damit wurde die zwei jährige Verjährungsfrist von Art. 52 Abs.</w:t>
      </w:r>
    </w:p>
    <w:p>
      <w:r>
        <w:rPr>
          <w:b/>
        </w:rPr>
        <w:t>E. 3</w:t>
      </w:r>
    </w:p>
    <w:p>
      <w:r>
        <w:t>.2</w:t>
      </w:r>
    </w:p>
    <w:p>
      <w:r>
        <w:t>Der von der Beschwerdegegnerin verfügungsweise geltend gemachte Schaden für die unbezahlt gebliebenen B eiträge und Nebenkosten wird von der Beschwerde führer in in masslicher Hinsicht nicht bestritten ( Urk. 1 S. 1). Er ist anhand der Kassenakten – insbesondere des Kontoauszugs vom 8. Februar 2018 ( Urk. 5/184/7-8) – hinreichend substantiiert dargelegt. Angesichts dessen, dass die Beschwerdegegnerin gemäss der Mitteilung des Konkursamts C.___ vom 12. April 2016 im Konkurs der B.___ vermutlich voll zu Schaden kommen wird ( Urk.</w:t>
      </w:r>
    </w:p>
    <w:p>
      <w:r>
        <w:rPr>
          <w:b/>
        </w:rPr>
        <w:t>E. 5</w:t>
      </w:r>
    </w:p>
    <w:p>
      <w:r>
        <w:t>.3.5</w:t>
      </w:r>
    </w:p>
    <w:p>
      <w:r>
        <w:t>Die Beschwerdeführerin kann sich zur Rechtfertigung dieses Verstosses vorlie gend nicht auf die in E. 5.1 wiedergegebene bundesgerichtliche Pra xis berufen, wonach es in schwierigen finanziellen Situationen unter Umständen gerechtfer tigt sein kann, die Beiträge nicht zu bezahlen, um die Existenz eines Unterneh mens zu retten. Es ist nämlich zu betonen, dass ein solches V orgehen nur dann nicht zu einer Haftung nach Art. 52 AHVG führt, wenn der Arbeitgeber im Zeit punkt seiner Entscheidung aufgrund der objektiven Umstände und einer seriösen Beurteilung der Lage damit rechnen durfte, dass er die Forderung der Ausgleichs kasse binnen nützlicher Frist werde befriedigen können. Es muss demzufolge so wohl ein materielles, inhaltliches Element (die seriösen Sanierungsaussichten) als auch ein zeitliches Element (binnen nützlicher Frist) erfüllt sein. Nach der klaren Praxis genügt hingegen die Aussicht auf eine Befriedigung in fernerer Zukunft (oder gar erst nach Durchführung eines schuldbetreibungsrechtlichen Verfahrens) nicht zur Entlastung (vgl. hiezu</w:t>
      </w:r>
    </w:p>
    <w:p>
      <w:r>
        <w:t>Reichmuth , a.a.O., N 669 und N 671 ff.).</w:t>
      </w:r>
    </w:p>
    <w:p>
      <w:r>
        <w:t>Zwar ist die Darstellung der Beschwerdeführerin, dass sie Bemühungen unter nommen hatte, den Konkurs – auch unter Einlage privater Mittel – zu verhindern, nicht in Zweifel zu ziehen ( Urk. 1 S. 1) . Zielführende Massnahmen zur Gewähr leistung der korrekten Beitragszahlung unterblieben indes. So war – soweit ak tenkundig – kein (eigentlicher) Sanierungsplan im Sinne der dargelegten Recht sprechung vorhanden, zumal insbesondere auch der Hinweis auf eine intensive Finanzplanung (Urk. 1 S. 1) einem solchen nicht zu genügen vermag. Ausserdem würde es an der Erfüllung des zeitlichen Elements fehlen. Die Gesellschaft war offensichtlich schon seit längerer Zeit nicht in der Lage, die Sozialversicherungs beiträge fristgerecht abzuliefern, was allein aus den zugestellten zahlreichen Mahnungen ersichtlich ist. Es kann somit nicht von einem (kurzfristigen) Liqui ditätsproblem ausgegangen werden, das sich (allenfalls) durch ein vorübergehen des Nichtbezahlen der Beiträge hätte lösen oder mildern lass en (siehe in diesem Zusammenhang auch Urk. 5/62 und 85) . Angesichts dessen durfte die Be schwer deführer in – wie bereits a usgeführt – die Lohnzahlungen nicht prioritär, mithin bevorzugt behandeln.</w:t>
      </w:r>
    </w:p>
    <w:p>
      <w:r>
        <w:rPr>
          <w:b/>
        </w:rPr>
        <w:t>E. 5.1</w:t>
      </w:r>
    </w:p>
    <w:p>
      <w:r>
        <w:t>Die wesentliche Voraussetzung für die Schadenersatz pflicht besteht nach dem Wortlaut des Art. 52 AHVG darin, dass der Arbeitgeber absichtlich oder grob fahrlässig Vor 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 sen oder sein Verschulden im Sinne von Ab sicht oder grober Fahrlässigkeit aus schliessen. In diesem Sinne ist es denkbar, dass ein Arbeitgeber zwar in vorsätz licher Missachtung der AHV Vorschriften der Ausgleichskasse einen Schaden zu fügt, aber trotzdem nicht schadenersatz pflichtig wird, wenn besondere Umstände die Nichtbefolgung der einschlägigen Vorschriften als erlaubt oder nicht schuld haft erscheinen lassen (BGE 108 V 183 E. 1b; ZAK 1985 S. 576 E. 2). 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Zeitpunkt seiner Entschei dung aufgrund der objektiven Umstände und einer seriösen Beur teilung der Lage damit rechnen durfte, dass er die Forde rung der Ausgleichskasse innert nützlicher Frist würde befriedigen können (BGE 108 V 183; ZAK 1992 S. 248 E. 4b; vgl. BGE 132 III 523).</w:t>
      </w:r>
    </w:p>
    <w:p>
      <w:r>
        <w:rPr>
          <w:b/>
        </w:rPr>
        <w:t>E. 5.2.1</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 schriften grundsätzlich strenge Anforderungen zu stellen. Ähnlich ist zu diffe renzieren, wenn es darum geht, die subsidiäre Haftung der Organe eines Arbeit gebers zu ermitteln (BGE 108 V 199 E. 3a; ZAK 1985 S. 51 E. 2a, S. 620 E. 3b; vgl. BGE 132 III 523 E. 4.6).</w:t>
      </w:r>
    </w:p>
    <w:p>
      <w:r>
        <w:rPr>
          <w:b/>
        </w:rPr>
        <w:t>E. 5.2.2</w:t>
      </w:r>
    </w:p>
    <w:p>
      <w:r>
        <w:t>Nicht jedes einer Firma als solcher anzulastende Ver schulden muss auch ein sol ches ihrer sämtlichen Organe sein. Vielmehr hat man abzuwägen, ob und inwie weit eine Handlung der Firma einem bestimmten Organ im Hinblick auf dessen rechtliche und faktische Stellung innerhalb der Firma zuzurechnen ist. Ob ein Organ schuldhaft gehandelt hat, hängt demnach entscheidend von der Verant wortung und den Kompetenzen ab, die ihm von der juristischen Person übertra gen wurden (BGE 108 V 199 E. 3a; ZAK 1985 S. 620 E. 3b). Bei einfachen Ver 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 führung nicht zugleich auch seine Verantwortung als einziges Verwaltungsorgan an den Ge schäftsführer delegieren (BGE 108 V 199 E. 3b).</w:t>
      </w:r>
    </w:p>
    <w:p>
      <w:r>
        <w:rPr>
          <w:b/>
        </w:rPr>
        <w:t>E. 5.2.3</w:t>
      </w:r>
    </w:p>
    <w:p>
      <w:r>
        <w:t>Formell eingesetzte Geschäftsführer einer GmbH wie auch Personen, die faktisch die Funktion eines Geschäftsführers ausüben, haften für den der Ausgleichskasse zufolge nicht bezahlter Bundessozialversicherungsbeiträge entstandenen Scha den nach den gleichen Grundsätzen wie Organe einer Aktiengesellschaft. Dage gen besteht für den blossen Gesellschafter einer GmbH vorbehältlich einer abwei chenden statutarischen Regelung keine Pflicht zur Kontrolle oder Überwachung der Geschäftsführung, weshalb ihm das Fehlverhalten der Gesellschaft auch nicht angerechnet werden darf (BGE 126 V 237 ff.).</w:t>
      </w:r>
    </w:p>
    <w:p>
      <w:r>
        <w:rPr>
          <w:b/>
        </w:rPr>
        <w:t>E. 5.3.1</w:t>
      </w:r>
    </w:p>
    <w:p>
      <w:r>
        <w:t>Die Beschwerdeführerin brachte zu ihrer Entlastung vor , sie habe sich einen Über blick über die Aktiven und Passiven verschafft und dabei festgestellt, dass der Schaden bei einer allfälligen Insolvenz, auch für die Beschwerdegegnerin, weit höher ausgefallen wäre. Sie habe sich deshalb nach intensiver Finanzplanung für eine Weiterführung der Gesellschaft entschlossen, und zwar mit der Zielsetzung, die notwendigen Mittel für die Abwendung der Insolvenz zu erwirtschaften. Hierzu sei unter anderem – unter grosser privater Verschuldung – auch die Be zahlung der Löhne der Mitarbeitenden nötig gewesen . Dass letztlich die Bezah lung der Schadenfälle durch die Verursacher durch prozessuale Vorgehen lange verzögert worden sei, habe sie zum Zeitpunkt ihres Antritts als Geschäftsführerin nicht annehmen müssen ( Urk. 1).</w:t>
      </w:r>
    </w:p>
    <w:p>
      <w:r>
        <w:rPr>
          <w:b/>
        </w:rPr>
        <w:t>E. 5.3.2</w:t>
      </w:r>
    </w:p>
    <w:p>
      <w:r>
        <w:t>Vorweg ist festzuhalten, dass im vorliegenden Prozess nicht zu untersuchen ist, aus welchen Gründen es zum Konkurs der B.___ gekommen ist. Zu entscheiden ist einzig, ob die B.___ die ihr als Arbeitgeberin oblie genden Pflichten verletzt hat und ob gegebenenfalls ein qualifiziertes Verschul den der Beschwerdeführerin zu bejahen ist.</w:t>
      </w:r>
    </w:p>
    <w:p>
      <w:r>
        <w:rPr>
          <w:b/>
        </w:rPr>
        <w:t>E. 5.3.3</w:t>
      </w:r>
    </w:p>
    <w:p>
      <w:r>
        <w:t>Die Beschwerdeführerin war seit 2 3. Oktober 1998 – und nicht erst seit September 2014 ( Urk. 1 S. 1; vgl. Urk. 5/184/2-3) – als Gesellschafterin und Geschäftsfüh rerin respektive Vorsitzende der Geschäftsführung mit Einzelzeichnungsberechti gung der B.___ im Handelsregister eingetragen. Ihr kommt somit ab diesem Zeitpunkt – und damit während der Zeit, in der der vorliegend strittige Schaden entstanden ist – formelle Organeigenschaft zu.</w:t>
      </w:r>
    </w:p>
    <w:p>
      <w:r>
        <w:t>Die B.___ war zwar nicht mehr ein eigentliches Kleinstunternehmen; trotzdem – auch mit Blick auf die ausgerichtete Lohnsumme – ein Unternehmen mit einfacher Verwaltungsstruktur. Die Verhältnisse, namentlich auch hinsicht lich der beitragsrechtlichen Situation, waren einfach und leicht überschaubar. Bei derarti gen Verhältnissen muss von einer Geschäftsführer in einer GmbH verlangt werden, dass sie den Überblick über alle wesentlichen Belange des Unternehmens hat. In diesen Konstellationen werden praxisgemäss auch erhöhte Anforderungen an Kenntnis und Erledigung von Abrechnungs- und Zahlungsverkehr mit der Ausgleichs kasse gestellt. Denn gemäss Art. 812 Abs. 1 des Obligationenrechts (OR) sind die Geschäftsführer sowie Dritte, die mit der Geschäftsführung befasst sind, ver pflichtet, ihre Aufgabe mit aller Sorgfalt zu erfüllen und die Interessen der Gesellschaft in guten Treuen zu wahren. Art. 810 Abs. 2 OR enthält sodann einen – im Wesentlichem der aktienrechtlichen Bestimmung von Art. 716a Abs. 1 OR entsprechenden – Katalog unübertragbarer und unentziehbarer Auf gaben. So obliegt den Geschäftsführern insbesondere die Oberleitung der Gesellschaft und die Erteilung der nötigen Weisungen (Ziffer 1), die Ausge staltung des Rechnungs wesens, der Finanzkon trolle sowie der Finanzplanung (Ziffer 3) und die Aufsicht über die Personen, denen Teile der Geschäftsführung übertragen sind, namentlich im Hinblick auf die Befolgung der Gesetze, Statuten, Reglemente und Weisungen (Ziffer 4). Das Gesetz verbietet zwar die Vornahme einer bestimmten Arbeits- und Kompetenzaufteilung nicht, doch die Überwachungs- und Kontrollpflichten v er bleiben auch dann bei der (Gesamt)- Geschäftsführung beziehungsweise bei sämt lichen Geschäftsführern. Deshalb hat sich jedes Mitglied einer GmbH periodisch über den Geschäftsgang und die wichtigsten Geschäfte, welche nicht zu seinem primären Aufgabenbereich gehören, zu orientieren, Rapporte zu verlangen, diese sorgfältig zu studieren und nötigenfalls ergänzende Auskünfte einzuholen, Irrtü mer abzuklären und bei Unregelmässigkeiten einzugreifen. Die Rechtslage ist in soweit nicht anders als bei einer Aktiengesellschaft (vgl. hiezu BGE 114 V 219 E. 4a und E. 4.2 .3 hievor ). Die Beschwerdeführer in hätte daher insbesondere dafür besorgt sein müssen, dass von der Gesellschaft die gesetzlichen Vorschriften, wozu auch jene betreffend das Beitragswesen gehören, eingehalten werden.</w:t>
      </w:r>
    </w:p>
    <w:p>
      <w:r>
        <w:rPr>
          <w:b/>
        </w:rPr>
        <w:t>E. 5.3.6</w:t>
      </w:r>
    </w:p>
    <w:p>
      <w:r>
        <w:t>Zu ergänzen bleibt, dass auch der Umstand, dass die Beschwerdeführerin ei gene Mittel in die Firma einsch oss, das von Art. 52 AHVG geforderte qualifizierte Ver schulden nicht ausschliesst. Denn für die Beurteilung der Verschuldensfrage ist nicht entscheidend, was die verantwortlichen Organe zur Aufrechterhaltung des Betriebes oder der Vermeidung eines Konkurses allenfalls unternommen haben, sondern ob sie (nach aussen erkennbar) der Pflicht, für eine ordnungsgemässe Bezahlung der Sozialversicherungsbeiträge zu sorgen, nachgekommen sind (Ur teil des Bundesgerichts 9C_117/2011 vom 2 9. März 2011 E. 5 mit weiteren Hin weisen). Dies ist aufgrund vorstehender Erwägungen zu verneinen.</w:t>
      </w:r>
    </w:p>
    <w:p>
      <w:r>
        <w:rPr>
          <w:b/>
        </w:rPr>
        <w:t>E. 6.1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 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Zwischen dem d er Beschwerdeführerin vorzuwerfenden widerrechtlichen Verhal ten und dem eingetretenen Schaden ist der Kausalzusammenhang ohne Weiteres zu bejahen. Denn es ist anzunehmen, dass ein pflichtgemässes Verhalten den Schaden hätte verhindern können.</w:t>
      </w:r>
    </w:p>
    <w:p>
      <w:r>
        <w:rPr>
          <w:b/>
        </w:rPr>
        <w:t>E. 7</w:t>
      </w:r>
    </w:p>
    <w:p>
      <w:r>
        <w:t>Nach dem Dargelegten wurde die Beschwerdeführerin zu Recht verpflichtet, für den eingetretenen Schaden im Umfang von Fr. 30'937.15 Ersatz zu leisten. Dies führt zur Abweisung der Beschwerde. Das Gericht erkennt: 1.</w:t>
      </w:r>
    </w:p>
    <w:p>
      <w:r>
        <w:t>Die Beschwerde wird abgewiesen. 2.</w:t>
      </w:r>
    </w:p>
    <w:p>
      <w:r>
        <w:t>Das Verfahren ist kostenlos. 3.</w:t>
      </w:r>
    </w:p>
    <w:p>
      <w:r>
        <w:t>Zustellung gegen Empfangsschein an: - Y.___ AG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