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AK.2018.00007 vom 19. September 2019</w:t>
      </w:r>
    </w:p>
    <w:p>
      <w:r>
        <w:t>ZH Sozialversicherungsgericht, 2019-09-19, DE</w:t>
      </w:r>
    </w:p>
    <w:p>
      <w:r>
        <w:rPr>
          <w:b/>
        </w:rPr>
        <w:t xml:space="preserve">Quelle: </w:t>
      </w:r>
      <w:r>
        <w:t>https://mcp.opencaselaw.ch/entscheid/zh_sozialversicherungsgericht_AK.2018.00007</w:t>
      </w:r>
    </w:p>
    <w:p>
      <w:r>
        <w:t>FR: ZH_SOZIALVERSICHERUNGSGERICHT AK.2018.00007 du 19 septembre 2019</w:t>
      </w:r>
    </w:p>
    <w:p>
      <w:r>
        <w:t>IT: ZH_SOZIALVERSICHERUNGSGERICHT AK.2018.00007 del 19 settembre 2019</w:t>
      </w:r>
    </w:p>
    <w:p>
      <w:pPr>
        <w:pStyle w:val="Heading2"/>
      </w:pPr>
      <w:r>
        <w:t>Erwägungen</w:t>
      </w:r>
    </w:p>
    <w:p>
      <w:r>
        <w:rPr>
          <w:b/>
        </w:rPr>
        <w:t>E. 1</w:t>
      </w:r>
    </w:p>
    <w:p>
      <w:r>
        <w:t>9. September 2017 verpf lichtete die Ausgleichskasse ( unter anderen )</w:t>
      </w:r>
    </w:p>
    <w:p>
      <w:r>
        <w:t>die ehemalige Verwaltungsratspräsidentin der Konkursitin , X.___ , zur Bezahlung von Schadenersatz für entgangene Beiträge von Fr. 32'296.80 (Urk. 7/59/8-10) . Ihre da gegen erhobene Einsprache</w:t>
      </w:r>
    </w:p>
    <w:p>
      <w:r>
        <w:t>vom 18. Oktober 2017 (Urk. 7/61 ), hiess die Ausgleichskasse mit Einspracheentscheid vom 13 . Februar 2018 teilweise gut und reduzierte die geforderte Schadenersatzsumme auf Fr. 27'893.90 ( Urk. 2) .</w:t>
      </w:r>
    </w:p>
    <w:p>
      <w:r>
        <w:rPr>
          <w:b/>
        </w:rPr>
        <w:t>E. 1.1</w:t>
      </w:r>
    </w:p>
    <w:p>
      <w:r>
        <w:t>Nach Art. 52 Abs. 1 des Bundesgesetz es über die Alters- und Hinterlassenenversicherung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Erwerbsersatz- (Art. 21 Abs. 2 des Bundesgesetzes über den Erwerbsersatz für Dienstleistende und bei Mutterschaft)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Ausgleichskasse vom Schaden Kenntnis erhalten hat, jedenfalls fünf Jahre nach Eintritt des Schadens. Diese Fristen können unterbrochen werden. Der Arbeitgeber kann auf die Einrede der Verjährung verzichten (Art. 52 Abs. 3 AHVG; vgl. auch BGE 131 V 4 oben).</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129 V 193 E. 2.1, 128 V 15 E. 2a, 126 V 443 E. 3a, 452 E. 2a, 121 III 386 E. 3b, je mit Hinweisen).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Fruchtloserklärung beziehungsweise von deren Veröffentlichung im Schweizerischen Handelsamtsblatt (SHAB) an zu laufen (BGE 129 V 193 E. 2.3, 128 V 10 E. 5a, 126 V 443 E. 3c).</w:t>
      </w:r>
    </w:p>
    <w:p>
      <w:r>
        <w:rPr>
          <w:b/>
        </w:rPr>
        <w:t>E. 1.2.3</w:t>
      </w:r>
    </w:p>
    <w:p>
      <w:r>
        <w:t>Im Konkurs der Y.___ wurde da s V erfahren - wie erwähnt - am 17. Dezember 2015 mangels Aktiven eingestellt (Urk. 7/45 ). Damit wurde die zweijährige Verjährungsfrist von Art. 52 Abs. 3 ATSG ausgelöst. Mit Erlass der Schadenersatzverfügung vom 19 . September 2017 (Urk. 7/59/8-10 ) wahrte die Beschwerdegegnerin diese F rist. Die streitgegenständliche</w:t>
      </w:r>
    </w:p>
    <w:p>
      <w:r>
        <w:t>Schadenersatzforderung ist demnach nicht verjährt.</w:t>
      </w:r>
    </w:p>
    <w:p>
      <w:r>
        <w:rPr>
          <w:b/>
        </w:rPr>
        <w:t>E. 2</w:t>
      </w:r>
    </w:p>
    <w:p>
      <w:r>
        <w:t>Gegen den Einspracheentscheid vom 13. Februar 2018 erhob X.___</w:t>
      </w:r>
    </w:p>
    <w:p>
      <w:r>
        <w:t>am 15 . März 2018</w:t>
      </w:r>
    </w:p>
    <w:p>
      <w:r>
        <w:t>Beschwerde und beantragte sinngemäss, der Einspracheentscheid</w:t>
      </w:r>
    </w:p>
    <w:p>
      <w:r>
        <w:t>vom 13. Februar 2018 sei aufzuheben (Urk. 1) . Am 19. März 2018 reichte sie weitere Unterlagen ein (Urk. 4). Mit Beschwerdeantwort vom 18. April 2018</w:t>
      </w:r>
    </w:p>
    <w:p>
      <w:r>
        <w:t>schloss die Ausgleichskasse auf Abweisung der Beschwerde (Urk. 6), was der Beschwerdeführer in</w:t>
      </w:r>
    </w:p>
    <w:p>
      <w:r>
        <w:t>am</w:t>
      </w:r>
    </w:p>
    <w:p>
      <w:r>
        <w:t>20. April 2018 zur Kenntnis gebracht wurde (Urk. 8 ).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Der von der Beschwerdegegnerin verfügungsweise geltend gemachte Schaden (Urk. 7/59 /8 -10) für die unbezahlt gebliebenen B eiträge und Nebenkosten wird von</w:t>
      </w:r>
    </w:p>
    <w:p>
      <w:r>
        <w:t>der Beschwerdeführer in in masslicher Hinsicht nicht bestritten. Er ist anhand der Kassenakten – ins besondere des Kontoauszugs vom 14 . September 2017 (Urk. 7 / 59/5-7 ) – hinrei chend substantiiert dargelegt.</w:t>
      </w:r>
    </w:p>
    <w:p>
      <w:r>
        <w:rPr>
          <w:b/>
        </w:rPr>
        <w:t>E. 2.3</w:t>
      </w:r>
    </w:p>
    <w:p>
      <w:r>
        <w:t>Die Beschwerdegegnerin reduzierte im angefochtenen Einspracheentscheid – wie bereits ausgeführt – die von der Beschwerdeführer in geforderte Schadenersatzsumme von Fr. 32'296.80 auf Fr. 27'893.90 . Dabei ist korrekt, dass</w:t>
      </w:r>
    </w:p>
    <w:p>
      <w:r>
        <w:t>die nach der</w:t>
      </w:r>
    </w:p>
    <w:p>
      <w:r>
        <w:t>Konkurseröffnung vom 5. August 2015 in Rechnung g estellten Be i träge für die Lohnperiode Januar bis August 2015 nicht mehr der Beschwerdeführer in als Pfli chtige angelastet wurden . Mangels offenkundiger Anhaltspunkte für Berechnungsfehler ist die Schadensberechnung der Beschwerdegegnerin zu bestätigen und von einem vorliegend relevanten Schadensbetrag von Fr. 27'893.90 auszugehen.</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3.2</w:t>
      </w:r>
    </w:p>
    <w:p>
      <w:r>
        <w:t>Aus den Akten ist ersichtlich, dass die Y.___</w:t>
      </w:r>
    </w:p>
    <w:p>
      <w:r>
        <w:t>den ihr als Arbeitgeberin obliegenden Zahlungsverpflichtungen – nicht nur im Jahr 2014 – nicht nachkam, sondern auch die Jahresabre chnungen nicht rechtzeitig ein reicht e . Die Beschwerdegegnerin sah sich deshalb veranlasst, die Gesellschaft wiederholt zu mahnen (vgl. Urk. 7/9, 7/10, 7/11, 7/12, 7/16, 7/17, 7/18, 7/20, 7/21, 7/22, 7/23, 7/29, 7/30, 7/31 ). Auch die Buchhaltung wurde nur unzureichend geführt und insbesondere nicht auf dem aktuellen Stand gehalten und nachgetragen (vgl. Bericht über die Arbeitgeberkontrolle Urk. 7/39/1). Schliesslich blieben geschuldete Sozialversicherungsbeiträge (inklusive Nebenkosten) in der Höhe von Fr. 32'296.80 unbezahlt, wovon in diesem Prozess – wie ausgeführt – Fr. 27'893.90. relevant si nd (vgl. 2 .3 hie r vor). Damit ist die Konkursitin ihren Pflichten als Arbeitgeberin selbstredend nicht nachgekommen und hat öffentlichrech tliche Vorschriften missachtet.</w:t>
      </w:r>
    </w:p>
    <w:p>
      <w:r>
        <w:t>Zu prüfen bleibt, ob und inwieweit der entstandene Schaden auf ein qualifi ziert schuldhaftes Verhalten der Beschwerdeführerin zurückzuführen ist.</w:t>
      </w:r>
    </w:p>
    <w:p>
      <w:r>
        <w:rPr>
          <w:b/>
        </w:rPr>
        <w:t>E. 4.1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S. 620 E. 3b; vgl. BGE 132 III 523 E. 4.6).</w:t>
      </w:r>
    </w:p>
    <w:p>
      <w:r>
        <w:rPr>
          <w:b/>
        </w:rPr>
        <w:t>E. 4.2.2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 iges Verwaltungsorgan an den Ge schäftsführer delegieren (BGE 108 V 199 E. 3b).</w:t>
      </w:r>
    </w:p>
    <w:p>
      <w:r>
        <w:rPr>
          <w:b/>
        </w:rPr>
        <w:t>E. 4.2.3</w:t>
      </w:r>
    </w:p>
    <w:p>
      <w:r>
        <w:t>Nach Art. 717 des Obligationenrechts (OR) müssen die Mitglieder des Verwaltungsrates sowie Dritte, die mit der Geschäftsführung befasst sind, ihre Aufgaben mit aller Sorgfalt erfüllen und die Interessen der Gesellschaft in guten Treuen wahren. Gemäss Art. 716 Abs. 2 OR führt der Verwaltungsrat die Geschäfte der Gesellschaft, soweit er die Geschäftsführung nicht übertragen hat. Art. 716a Abs. 1 OR enthält sodann einen Katalog unübertragbarer und unentziehbarer Aufgaben . So obliegt dem Verwaltungsrat unter anderem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 as Verwaltungsratsmitglied hat damit nicht nur die Pflicht, an den Verwaltungsratssitzungen teilzunehmen, sondern sich periodisch über den Geschäftsgang zu informieren und bei Unregelmässigkeiten einzuschreiten (Urteil des Bundesgerichts 9C_651/2012 vom 15. Mai 2013 E. 6.2 mit weiteren Hinweisen). Das Gesetz verbietet zwar nicht die Vornahme einer bestimmten Arbeits- und Kompetenzaufteilung, doch die Überwachungs- und Kontrollpflichten verbleiben auch dann beim Verwaltungsrat. Deshalb hat sich jedes Mitglied des Verwaltungsrats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(BGE 114 V 223 E. 4a).</w:t>
      </w:r>
    </w:p>
    <w:p>
      <w:r>
        <w:t>Nach der Rechtsprechung des Bundesgerichts ist bei den nicht geschäftsführenden Verwaltungsratsmitgliedern von Aktiengesellschaften entscheidend, ob sie den ihnen obliegenden Kontroll- und Aufsichtspflichten nachgekommen sind. Zwar ist der nicht geschäftsführende Verwaltungsrat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Urteil des Bundesgerichts 9C_461/2009 vom 31. Dezember 2010 E. 5.3, je mit weiteren Hinweisen).</w:t>
      </w:r>
    </w:p>
    <w:p>
      <w:r>
        <w:rPr>
          <w:b/>
        </w:rPr>
        <w:t>E. 4.3.1</w:t>
      </w:r>
    </w:p>
    <w:p>
      <w:r>
        <w:t>Die Beschwerdeführerin brachte zu ihrer Entlastung vor (Urk. 1 S.</w:t>
      </w:r>
    </w:p>
    <w:p>
      <w:r>
        <w:t>1) , B.___</w:t>
      </w:r>
    </w:p>
    <w:p>
      <w:r>
        <w:t>(richtig: C.___ ; Urk. 15/1 ) , ebenfalls Verwaltungsrat , sei vom VR als Geschä ftsleiter eingesetzt worden. Es s ei e n sein e Aufgaben gewesen, sich um das Tagesgeschäft, die Angestellten sowie das Office und die Buchhaltung zu kümmern. Dies sei im VR so beschlossen worden. Der Betrieb der Y.___ sei erst im Februar 2014 aufgenommen worden und infolge dessen sei das Geschäftsjahr 2014 beim Steueramt als verlängertes Steuerjahr 2014-2015 eingereicht und von diesem auch genehmigt worden. Somit habe im März 2015 auch keine ordentliche Verwaltungsratssitzung mit Abschluss 2014 abgehalten werden können. Sie habe C.___ zwei Einladungen für eine VR- Sitzung gesendet. Die erste habe er mit der Begründung, er habe die Einladung gar nie erhalten, abgesagt und zur zweiten sei er auch nicht gekommen. Telefonisch habe er sich ständig verleugnen lassen und a b Juni sei er dann überhaupt nicht mehr , weder persönlich noch telefonisch , erreichbar gewesen und im Juli (2015) sei er dann komplett abgetaucht. Gemäss seinen Aussagen aufgrund eines Burnout s.</w:t>
      </w:r>
    </w:p>
    <w:p>
      <w:r>
        <w:t>Sie habe z u den Unterlagen nie direkten Zugang gehabt, da er ( C.___ ) diese immer bei sich zu Hause gehabt habe . D ie Einsicht hätte er aktiv verhindert und ab Februar bis Juni 2015 sei sie ständig vertröstet worden . Er sei au ch fast nie mehr im Geschäft anzu treffen gewesen, habe die Umstä nde verschwiegen und sei Anfang Juli 2015 na ch Sizilien abgetaucht und habe sämtliche Unterlagen</w:t>
      </w:r>
    </w:p>
    <w:p>
      <w:r>
        <w:t>mitgenommen. Als dann der Konk urs anfangs August nicht mehr au f zuhalten gewesen sei, habe er sich auch gegenüber dem Konkursamt länger verweigert und sei erst nach mehrmaligen Aufforderungen teilweise mit den Unterlagen herausgerückt. Sie habe keine Chancen gehabt, da s ie nur zwei Verwaltungsräte gewesen seien, sie ihn nie zu Gesicht bekommen habe und er ihren Aufforderungen nicht nachgekommen sei. Sie habe nicht davon ausgehen können, dass er bereits in den ersten paar Monaten eine Misswirtschaft betrieben habe und er habe ihr gegenüber immer wieder beteuert , dass alle s in Ordnung sei und er bis Mitte März 2015 einen provisorischen Abschluss erste llen werde. Leider habe sie für diese mündlichen Aufforderungen keine Beweise. Sie habe auf die Freundschaft und die mündlichen Abmachungen und Versprechungen vertraut und sei sich der schriftlichen Beweisschuld nicht bewusst gewesen (Urk. 1S. 1 f f.).</w:t>
      </w:r>
    </w:p>
    <w:p>
      <w:r>
        <w:rPr>
          <w:b/>
        </w:rPr>
        <w:t>E. 4.3.2</w:t>
      </w:r>
    </w:p>
    <w:p>
      <w:r>
        <w:t>Die Beschwerdeführer in war seit 27. November 2013 als Präsidentin des Verwaltungsrates mit Einzelzeichnungsberechtigung der Y.___ im Handelsregister eingetragen (Urk. 7/59/11-12). Ihr kommt somit ab diesem Zeitpunkt – und damit während der Zeit, in der der vorliegend strittige Schaden entstanden ist – formelle Organeigenschaft zu.</w:t>
      </w:r>
    </w:p>
    <w:p>
      <w:r>
        <w:t>Sodann war d ie Beschwerdeführerin nebst C.___ Eigentümerin von 50 % der Inhaberaktien der Gesellschaft (vgl. Urk. 7/39/3).</w:t>
      </w:r>
    </w:p>
    <w:p>
      <w:r>
        <w:t>Bei der Y.___ handelte es si ch um ein kleines Unternehmen mit einfacher Verwaltungsstruktur, waren doch neben dem Verwaltungsrat , bestehend aus der</w:t>
      </w:r>
    </w:p>
    <w:p>
      <w:r>
        <w:t>Beschwerdeführerin , C.___</w:t>
      </w:r>
    </w:p>
    <w:p>
      <w:r>
        <w:t>sowie D.___ , welcher bis 9. Dezember 2014 Einsitz hatte, im von der Gesellschaft geführten Restaurant/Club lediglich</w:t>
      </w:r>
    </w:p>
    <w:p>
      <w:r>
        <w:t>zehn Personen angestellt . A ufgrund</w:t>
      </w:r>
    </w:p>
    <w:p>
      <w:r>
        <w:t>der für das Jahr 2014 deklarierten Lohnsumme (Urk. 7/24 )</w:t>
      </w:r>
    </w:p>
    <w:p>
      <w:r>
        <w:t>waren auch die Verhältnisse hinsichtlich der beitragsrechtlichen Situatio n einfach und leicht überschaubar. Bei derartigen Verhältnissen muss von einem Mitglied des Verwaltungsrats verlangt werden, dass er stets den Überblick über alle wesentlichen Belange des Unternehmens hat. In diesen Konstellationen werden praxisgemäss auch erhöhte Anforderungen an Kenntnis und Erledigung von Abrechnungs- und Zahlungsverkehr mit der Ausgleichskasse gestellt. Denn gemäss den hiervor erwähnten Artikel</w:t>
      </w:r>
    </w:p>
    <w:p>
      <w:r>
        <w:rPr>
          <w:b/>
        </w:rPr>
        <w:t>E. 7</w:t>
      </w:r>
    </w:p>
    <w:p>
      <w:r>
        <w:t>16 f.</w:t>
      </w:r>
    </w:p>
    <w:p>
      <w:r>
        <w:t>des Ob ligationenrechts ( OR )</w:t>
      </w:r>
    </w:p>
    <w:p>
      <w:r>
        <w:t>sind die Mitglieder des Verwaltungsrates sowie Dritte, die mit der Geschäftsführung befasst sind, verpflichtet, ihre Aufgabe mit aller Sorgfalt zu erfüllen und die Interessen der Gesellschaft in guten Treuen zu wa hren . Z u ihren unübertragbaren und unentziehbar en Aufgaben</w:t>
      </w:r>
    </w:p>
    <w:p>
      <w:r>
        <w:t>gehört dabei insbesondere die Oberleitung der Gesellschaft , die Ausgestaltung des Rechnungswesens, der Finanzkontrolle sowie der Finanzplanung und die Aufsicht über die Personen, denen Teile der Geschäftsführung übertragen sind, namentlich im Hinblick auf die Befolgung der Gesetze, Statuten, Reg lemente und Weisungen (E. 4.2.3) . Das Gesetz verbietet zwar die Vornahme einer bestimmten Arbeits- und Kompetenzaufteilung nicht, doch die Überwachungs- und Kontrollpflichten verbleiben auch dann bei der Gesamt führung beziehungsweise bei sämtlichen Mitgliedern des Verwaltungsrates . Deshalb hat sich jeder Verwaltungsrat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sofort einzuschreiten ( BGE 114 V 219 E. 4a und</w:t>
      </w:r>
    </w:p>
    <w:p>
      <w:r>
        <w:t>E. 4.2.3 hie r vor).</w:t>
      </w:r>
    </w:p>
    <w:p>
      <w:r>
        <w:t>Die Beschwerdeführer in hätte daher in der Zeit, als sie formelles Organ der Konkursitin war , dafür besorgt sein müssen, dass von der Gesellschaft die gesetzlichen Vorschriften, wozu auch jene betreffend das Beitragswesen gehören, eingehalten werden, verblieben doch die genannten Pflichten und Obliegenheiten auch nach einer (allfällig en) Delegation von Aufgaben bei der Beschwerdeführer in. Sie kann sich daher nicht mit dem Hinweis auf die stattgehabte Aufgabenteilung zwischen ihr und C.___ , welcher ebenfalls als Verwaltungsrat eingetragenen war, entlasten (Urk. 1/ S. 1 ff. ), zumal trotz ausgerichteter Löh ne von Januar bis Dezember 2014 die darauf geschuldeten Sozialversicherungsbeiträge nicht abgeführt wu rden. Geglaubte Beteuerungen von C.___ , dass alles in Ordnung und die Beiträge bezahlt worden seien (Urk. 1, Urk. 3/2) sowie e ine Aufforderung an ihn ,</w:t>
      </w:r>
    </w:p>
    <w:p>
      <w:r>
        <w:t>im März 2015 eine Verwaltungsratssitzung mit dem Traktandum Buchhaltungsabschluss 2014 abzuhalten (Urk. 3) , genügen den Anforderungen nicht, die zur</w:t>
      </w:r>
    </w:p>
    <w:p>
      <w:r>
        <w:t>Überprüfung der Geschäftstätigkeit notwendig sind .</w:t>
      </w:r>
    </w:p>
    <w:p>
      <w:r>
        <w:t>Nach der Rechtsprechung zu Art. 52 AHVG ist es – allenfalls abgesehen von kurzfristigen Ausständen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Haftungsvoraussetzungen ebenfalls erfüllt sind. Der Grund liegt in der besonderen Natur der AHV-Beträge, hinsichtlich welcher der Arbeitgeber die Funktion eines Vollzugsorgans ausübt (Art. 51 AHVG). Daraus resultiert eine besondere Pflicht, für die ordnungsgemässe Bezahlung der Beiträge zu sorgen (Urteil des Bundesgerichts 9C_311/2015 vom 9. Juli 2015 E. 4.2.2). Falls daher die Liquiditätssituation die Begleichung der vollen Bruttolöhne zuzüglich des Beitragsanteils des Arbeitgebers nicht zulässt, sind die Lohnzahlungen praxisgemäss auf ein Mass zu reduzieren, welches die Entrichtung der darauf anfallenden Sozialversicherungsbeiträge erlaubt (vgl. etwa bereits Urteil des damaligen Eidgenössischen Versicherungsgerichts H 69/05 vom 15. März 2006 E. 5.3.3 mit Hinweis; ferner Urteil des Bun desgerichts 9C_328/2012 vom 11. Dezember 2012 E. 5.1 mit Hinweis auf Reichmuth , a.a.O., N 673 und 952 mit weiteren Hinweisen). Dem wurde vorliegend offensichtlich nicht nachgek ommen, nachdem die Gesellschaft</w:t>
      </w:r>
    </w:p>
    <w:p>
      <w:r>
        <w:t>den Betrieb anfangs 2014 aufgenommen und Löhne ausgerichtet hatte , ohne die darauf anfallenden Sozialv ersicherungsabgaben abzuführen oder zumindest sicher zu stellen. 4 .4</w:t>
      </w:r>
    </w:p>
    <w:p>
      <w:r>
        <w:t>Zusammenfassend ist d amit festzuhalten, dass sich die Beschwerdeführer in nicht von dem ihr zu machenden Vorwurf, ihre Obliegenheiten im Zusammenhang mit dem Beitragswesen gro bfahrlässig missachtet zu haben, zu entlasten vermag.</w:t>
      </w:r>
    </w:p>
    <w:p>
      <w:r>
        <w:t>5. 5.1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zum Schade n der Beschwerdegegnerin. Hätte die Beschwerdeführer in dafür gesorgt, dass die Konkursitin unter ihrer Verantwortung ihren Zahlungs- und Abrechnungspflichten rechtzeitig und vollständig nachgekommen wäre , und wären nur soweit Löhne ausbezahlt worden, als die darauf geschuldeten Abgaben bei Fälligkeit hätten beglichen werden können, wäre der Schaden nicht eingetreten . 6.</w:t>
      </w:r>
    </w:p>
    <w:p>
      <w:r>
        <w:t>Nach dem Dargelegten wurde die Beschwerdeführer in zu Recht verpflichtet, für den eigetr etenen Schaden im Umfang von</w:t>
      </w:r>
    </w:p>
    <w:p>
      <w:r>
        <w:t>Fr. 27'893.90 Ersatz zu leisten. Dies führt zur Abweisung der Beschwerde.</w:t>
      </w:r>
    </w:p>
    <w:p>
      <w:r>
        <w:t>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