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AK.2017.00025 vom 3. April 2019</w:t>
      </w:r>
    </w:p>
    <w:p>
      <w:r>
        <w:t>ZH Sozialversicherungsgericht, 2019-04-03, DE</w:t>
      </w:r>
    </w:p>
    <w:p>
      <w:r>
        <w:rPr>
          <w:b/>
        </w:rPr>
        <w:t xml:space="preserve">Quelle: </w:t>
      </w:r>
      <w:r>
        <w:t>https://mcp.opencaselaw.ch/entscheid/zh_sozialversicherungsgericht_AK.2017.00025</w:t>
      </w:r>
    </w:p>
    <w:p>
      <w:r>
        <w:t>FR: ZH_SOZIALVERSICHERUNGSGERICHT AK.2017.00025 du 3 avril 2019</w:t>
      </w:r>
    </w:p>
    <w:p>
      <w:r>
        <w:t>IT: ZH_SOZIALVERSICHERUNGSGERICHT AK.2017.00025 del 3 aprile 2019</w:t>
      </w:r>
    </w:p>
    <w:p>
      <w:pPr>
        <w:pStyle w:val="Heading2"/>
      </w:pPr>
      <w:r>
        <w:t>Erwägungen</w:t>
      </w:r>
    </w:p>
    <w:p>
      <w:r>
        <w:rPr>
          <w:b/>
        </w:rPr>
        <w:t>E. 1</w:t>
      </w:r>
    </w:p>
    <w:p>
      <w:r>
        <w:t>(Eintragung ) bis zur Löschung am 21. August 2015 als ein zige Gesellschafterin und Geschäftsführerin der Z.___ im Handelsregister eingetragen . Vom 21. August 2015 bis am 28. September 2016 (Löschung der Gesellschaft) war Y.___ , Ehemann von X.___ , als einziger Gesellschafter und Geschäftsführer der Z.___ im Handelsregister eingetra gen . Die Gesellschaft wurde in Anwendung von Art. 155 der Handels registerver ordnung ( HRegV ) von Amtes wegen gelöscht , da sie keine Geschäfts tätigkeit mehr aufwies, über keine verwertbaren Aktiven mehr verfügte und kein Interesse an der Aufrechterhaltung der Eintragung geltend gemacht wurde</w:t>
      </w:r>
    </w:p>
    <w:p>
      <w:r>
        <w:t>( Urk. 10/407/2-3 ). Die Gesellschaft war der Sozialversicherungsanstalt des Kantons Zürich , Aus gleichskasse, als beitrags pflichtige Arbeitgeberin ange schlossen. Die Ausgleichs kasse erwirkte in Betreibungen ge gen die Gesellschaft für ausste hende Lohnbei träge diverse Verlustscheine (Urk. 10/269, Urk. 10/271, Urk. 10/273, Urk. 10/275, Urk. 10/277, Urk. 10/279, Urk. 10/347-348, Urk. 10/350, 10/352, Urk. 10/354, Urk. 10/356, Urk. 10/358, Urk. 10/360, Urk. 10/362, Urk. 10/364-376) . Mit Ver fügung vom 10. April 2017 wurde X.___ als Solidarhafterin nebst Y.___ verpflichtet, der Ausgleichskasse Schadenersatz für ent gangene Beiträge von Fr. 31'341.70 zu leisten (Urk. 10/407/4-6). Die von</w:t>
      </w:r>
    </w:p>
    <w:p>
      <w:r>
        <w:t>Y.___ im Namen seiner Ehefrau erhobene Einsprache vom 20. Mai 2017 (Urk. 10/411, Urk. 10/416) wurde mit Entscheid vom 6. September 2017 teilweise gutgeheissen und die Schadenersatzsumme wurde auf Fr. 26'030.20 reduziert (Urk. 2 /1 [=</w:t>
      </w:r>
    </w:p>
    <w:p>
      <w:r>
        <w:t>Urk. 10/417]).</w:t>
      </w:r>
    </w:p>
    <w:p>
      <w:r>
        <w:rPr>
          <w:b/>
        </w:rPr>
        <w:t>E. 1.1</w:t>
      </w:r>
    </w:p>
    <w:p>
      <w:r>
        <w:t>Nach Art. 52 des Bundesgesetzes über die Alters- und Hinterlassenenversicherung (AHVG) hat ein Arbeitgeber, der durch absichtliche oder grobfahrlässige Miss ach tung von Vorschriften einen Schaden verschuldet, diesen der Ausgleichskasse zu ersetzen. Ist der Arbeitgeber eine juristische Person, so können nach ständiger Rechtsprechung des Bundesgerichts subsidiär gegebenenfalls die verantwortli c hen Organe in Anspruch genommen werden (BGE 123 V 12 E. 5b = AHI 1997 S. 208 E. 5b, 122 V 65 E. 4a, 119 V 401 E. 2, je mit Hinweisen). Haben mehrere Arbeit geber oder mehrere Organe einer juristischen Person einen Schaden verursacht, haften sie solidarisch (BGE 114 V 213 E. 3 mit Hinweisen).</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2</w:t>
      </w:r>
    </w:p>
    <w:p>
      <w:r>
        <w:t>Dagegen erhob Y.___ mit Eingabe vom 12. Oktober 2017 (zur Post gegeben am 16. Oktober 2017) im Namen seiner Ehefrau Beschwerde (Urk. 1) und beantragte, der angefochtene Einspracheentscheid sei vollumfänglich aufzuheben und seine Ehefrau sei von einer Schadenersatzpflicht zu befreien. Nach Ansetzung einer Nachfrist (Urk. 4) reichte X.___ mit Eingabe vom 21. Oktober 2017 (Urk. 6) die erforderliche Vertretungsvollmacht, lautend auf Y.___ , ein (Urk. 7). Mit Beschwerdeantwort vom 29. November 2017 (Urk. 9) beantragte die Beschwerdegegnerin die Abweisung der Beschwerde. Replicando hielt die Beschwerdeführerin in ihrer Eingabe vom 12. Januar 2018 an ihrem Antrag fest (Urk. 13). Die Beschwerdegegnerin hielt in ihrer Duplik vom 22. Februar 2018 ebenfalls an ihrem Antrag fest (Urk. 15), was der Beschwerde führerin mit Verfügung vom 23. Februar 2018 angezeigt wurde (Urk. 16). Das Gericht zieht in Erwägung: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Verbindung mit Art. 149 des Bundesge setzes über Schuldbetreibung und Konkurs (SchKG), welcher den Schaden grund sätzlich und in masslicher Hinsicht fest umschreibt, manifestiert, dass der Arbeitgeber seine Beitragspflicht nicht erfüllt hat und damit realistischerweise auch der Schaden er satzpflicht nach Art. 52 Abs. 1 AHVG nicht nachkommen kann. Deshalb steht vom Zeitpunkt der Ausstellung des Pfändungsverlustscheines an einer Belangung der subsidiär haft baren Organe nichts im Wege. In diesem Moment hat die Aus gleichskasse auch Kenntnis des Schadens, was die zweijährige Verjährungsfrist nach Art. 52 Abs. 3 AHVG in Gang setzt (BGE 113 V 256; SVR 2000 AHV Nr. 8; ZAK 1991 S. 125, 1988 S. 300).</w:t>
      </w:r>
    </w:p>
    <w:p>
      <w:r>
        <w:rPr>
          <w:b/>
        </w:rPr>
        <w:t>E. 2.3</w:t>
      </w:r>
    </w:p>
    <w:p>
      <w:r>
        <w:t>Gemäss Beitragsübersicht und Konto-Auszug vom 4. April 2017 – welche die Beschwerdegegnerin im vorliegenden Verfahren zusammen mit den Kassenakten (Urk. 10/1-423) eingereicht hat – bezahlte die Gesellschaft Lohnbeiträge (inkl. Neben kosten) im Umfang von total Fr. 41'740.65 nicht (Urk. 10/407/7 -8 und Urk. 10/407/20-28 ). Dieser Betrag ist aufgrund der Kassenakten ausgewiesen und wird von der Beschwerdeführerin in masslicher Hinsicht nicht bestritten. Mit Verfügung vom 10. April 2017 verpflichtete die Beschwerdegegnerin die Beschwerdeführerin zur Leistung von Schadenersatz im Betrag von Fr. 31'341.70, da letztere am 21. August 2015 als Gesellschafterin und Geschäftsführerin zurückgetreten sei und sich der massgebende Schaden daher reduziere (Urk. 10/407/4-6; vgl. den Konto-Auszug vom 4. April 2017 betreffend die Zeit vom 1. Januar 2012 bis 3. September 2015 [Urk. 10/407/9-16]). Mit angefochtenem Einspracheentscheid vom 6. September 2017 reduzierte die Beschwerdegegnerin die Schadenersatzsumme gegenüber der Beschwerdeführerin auf Fr. 26'030.2 0. Dabei er wog sie , anlässlich der Arbeitgeberkontrolle sei ange geben worden, im Jahr 2016 seien keine Löhne mehr ausgerichtet worden, Ver sehentlich seien dennoch Akontobeiträge für die Periode von Januar bis Septem ber 2016 gebucht worden. Diese Beiträge in der Höhe von Fr. 7'135.20 seien daher von der gesamten Schadenssumme von Fr. 41'740.65 abzuziehen. Die Beschwer deführerin sei sodann am 21. August 2015 aus der Gesellschaft ausgetreten; die Dispositionsbefugnis sei demzufolge spätestens in diesem Zeitpunkt entfallen. Sie hafte daher nicht für die nach diesem Zeitpunkt in Rechnung gestellten Beiträge, Betreibungskosten, Verzugszinsen und Mahngebühren von gesamthaft Fr. 8'575.2 5. Vor diesem Hintergrund reduziere sich die Schadenersatzforderung von Fr. 41'740.65 um Fr. 7'135.20 und Fr. 8'575.25 auf Fr. 26'030.20 (Urk. 10/417/2 = Urk. 2/1 S. 2 ).</w:t>
      </w:r>
    </w:p>
    <w:p>
      <w:r>
        <w:rPr>
          <w:b/>
        </w:rPr>
        <w:t>E. 3.1</w:t>
      </w:r>
    </w:p>
    <w:p>
      <w:r>
        <w:t>Art. 14 Abs. 1 AHVG und die Art. 34 ff. der Verordnung über die Alters- und Hinter lassen 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3.2</w:t>
      </w:r>
    </w:p>
    <w:p>
      <w:r>
        <w:t>Den Kassenakten kann entnommen werden, dass die Gesellschaft ihren Pflichten als Arbeitgeberin in mehrfacher Hinsicht nicht nachgekommen ist und damit öffentlichrechtliche Vorschriften missachtet hat. Bezüglich des vorliegend interessieren den Zeitraums bis 21. August 2015 ist aktenkundig, dass die Gesell schaft wiederholt für die Bezahlung der Akontobeiträge gemahnt und betrieben werden musste und dass letztlich Beiträge im Umfang von Fr. 26'030.20 unbe zahlt blieben ( vgl. E. 2.3 vorstehend). Auch hielt die Gesellschaft die elemen tarsten Regeln des Rechnungswesens nich t ein, denn es wurde</w:t>
      </w:r>
    </w:p>
    <w:p>
      <w:r>
        <w:t>nie eine Buchhal tung geführt . Dies räumte der Ehemann der Beschwerdeführerin anlässlich der am 26. Februar 2016 durchgeführten Arbeitgeberkontrolle ein (vgl.</w:t>
      </w:r>
    </w:p>
    <w:p>
      <w:r>
        <w:t>den entspre chenden Bericht vom 26. Februar 2016 [ Urk.</w:t>
      </w:r>
    </w:p>
    <w:p>
      <w:r>
        <w:t>10/300/1 ] ). Dies ist grundsätzlich als grobfahrlässiges Verhalten der Organe der Gesellschaft zu qualifizieren .</w:t>
      </w:r>
    </w:p>
    <w:p>
      <w:r>
        <w:rPr>
          <w:b/>
        </w:rPr>
        <w:t>E. 4</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w:t>
      </w:r>
    </w:p>
    <w:p>
      <w:r>
        <w:t>2a, S. 620 E.</w:t>
      </w:r>
    </w:p>
    <w:p>
      <w:r>
        <w:t>3b; vgl. BGE 132 III 523 E. 4.6).</w:t>
      </w:r>
    </w:p>
    <w:p>
      <w:r>
        <w:rPr>
          <w:b/>
        </w:rPr>
        <w:t>E. 4.1.1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w:t>
      </w:r>
    </w:p>
    <w:p>
      <w:r>
        <w:rPr>
          <w:b/>
        </w:rPr>
        <w:t>E. 4.1.5</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grobfahrlässige Handlung beziehungsweise Unterlassung bewirkt hat, dass die Beiträge im Zeit punkt der Fälligkeit nicht bezahlt werden konnten. Ein Ver schulden des Organs kann nur so lange in Frage kommen, als es die Möglichkeit hat, durch Handlun gen oder Unterlassungen die Geschäftsführung massgeblich zu beeinflussen. Das ist faktisch längstens bis zum effektiven Ausscheiden aus dem Verwaltungsrat der Fall (BGE 126 V 61 E. 4a, 123 V 172 E. 3a).</w:t>
      </w:r>
    </w:p>
    <w:p>
      <w:r>
        <w:rPr>
          <w:b/>
        </w:rPr>
        <w:t>E. 4.2</w:t>
      </w:r>
    </w:p>
    <w:p>
      <w:r>
        <w:t>.4</w:t>
      </w:r>
    </w:p>
    <w:p>
      <w:r>
        <w:t>Die Beschwerdeführerin machte in der Replik vom 12. Januar 2018 geltend, die Beschwerdegegnerin könne nicht beweisen, dass sie ein Verschulden treffe. Sie gehe nur von allgemeinen Annahmen und Behauptungen aus. Sie (die Beschwer de führerin) habe keine geschäftliche Verantwortung für die Gesellschaft über nehmen können. Sie habe eine komplizierte Schwangerschaft gehabt und ab der Geburt der Tochter am 19. Dezember 2013 habe sie sich alleine und praktisch ohne Hilfe um diese sowie den Haushalt kümmern müssen. Auch um ihre eigene Gesundheit sei es nicht gut bestellt gewesen, weshalb sie da auch sämtliche Belange der Gesellschaft an ihren Ehemann abgegeben habe. Dass dabei Forma li täten wie der Eintrag ins Handelsregister nicht die höchste Dringlich keitsstufe gehabt hätten, sei eigentlich nachvollziehbar. Die Beschwerde müsse zudem präzisiert werden. Es sei zwar richtig, dass sie ab Mitte 2014 keinerlei Funktionen mehr für die Gesellschaft ausgeübt habe. Aber der effektive Zeitpunkt der Über gabe aller Verfügungsg ewalt und sämtlicher Befugnisse habe bereits früher statt gefunden – spätestens im Januar 2014, also einen Monat nach der Geburt der Tochter. Danach habe sie bis Mitte 2014 lediglich noch ein paar repräsentative «Auftritte» für die Gesellschaft gehabt (Urk. 13).</w:t>
      </w:r>
    </w:p>
    <w:p>
      <w:r>
        <w:rPr>
          <w:b/>
        </w:rPr>
        <w:t>E. 4.3</w:t>
      </w:r>
    </w:p>
    <w:p>
      <w:r>
        <w:t>Bei der Gesellschaft handelte es sich um ein kleines Unternehmen mit zwei Angestellten, der Beschwerdeführerin selbst sowie ihrem Ehemann . Das vorge se hene Kerngeschäft der Gesellschaft betraf die Vermittlung von Profi-Fussball spielern (Urk. 6). Die Beschwerdeführerin trat gemäss Handelsregister eintrag am 21. August 2015 als Geschäftsführerin der Gesellschaft zurück. Darauf ist abzustellen, denn e in früheres Ausscheiden vermochte die Beschwerdeführerin nicht glaubhaft darzu tun. Zunächst ist darauf hinzuweisen, dass die Beschwerdeführerin bis Ende Juni 2015 noch einen Lohn bezog und dass dieser Lohn ab dem Jahr 2014 deutlich höher ausfiel als derjenige des Ehemannes (vgl. Urk. 10/184/2-3 und Urk. 10/297) . Dies widerspricht der Darstellung der Beschwerdeführerin, sie habe ab Mitte 2014 keinerlei Funktionen mehr für die Gesellschaft ausgeübt, ab Januar 2014 lediglich noch im Sinne repräsentativer «Auftritte» (E. 4.2.4). Abgesehen davon war die Beschwerdeführerin bis zu ihrem Rücktritt am 21. August 2015 als einzige Geschäftsführerin der Gesellschaft im Handelsregister eingetragen. M it ihrem Rücktritt erfolgte gemäss Handelsregister der nahtlose Übergang der Geschäftsführungsbefugn is auf den Ehemann. Diese zeitliche Abfolge spricht gegen ein früheres Austreten der Beschwerdeführerin aus der Geschäftsführung, hätte der Gesellschaft doch ansonsten</w:t>
      </w:r>
    </w:p>
    <w:p>
      <w:r>
        <w:t>eines der vorgeschriebenen Organe gefehlt (Organisationsmangel) . Es vermag sodann nicht zu überzeugen, dass die Beschwerdeführerin keine Kenntnisse vom Geschäftsgang gehabt haben soll. Sie und ihr Ehemann waren wie bereits erwähnt -</w:t>
      </w:r>
    </w:p>
    <w:p>
      <w:r>
        <w:t>die einzigen Angestellten der Gesellschaft und in der Beschwerde brachte die Beschwerdeführerin selbst vor: «Entgegen Ihren Aus führungen hatten wir bereits mehrere Male infolge des schlechten Geschäfts ganges der Firma unsere Lohnbezüge reduziert und alles dafür getan, die Firma nicht zu belasten bzw. zu retten» (Urk. 6 S. 2). Die Lohnreduktionen waren zwi schen den Ehegatten somit abgesprochen, was die Kenntnis der Beschwerde führerin über den Geschäftsgang voraussetzt. Im Übrigen begründen weder eine Mutterschaft noch eine Tätigkeit im Haushalt ein Unvermögen, die Tätigkeit als Geschäftsführerin wahrzunehmen. Längerdauernde gesundheitliche Schwierig keiten der Beschwerdeführerin, welche ihr eine Tätigkeit als Geschäftsführerin verunmöglicht hätten, wurden nicht belegt. Aus den Akten ergeben sich lediglich kurzfristige Ausfälle (vgl. z.B. Urk. 10/103/2 und Urk. 10/109).</w:t>
      </w:r>
    </w:p>
    <w:p>
      <w:r>
        <w:rPr>
          <w:b/>
        </w:rPr>
        <w:t>E. 4.4</w:t>
      </w:r>
    </w:p>
    <w:p>
      <w:r>
        <w:t>Als Fazit ist somit Folgendes festzuhalten: Dass die Beschwerdeführerin die Geschäftsführertätigkeit faktisch vor dem 21. August 2015 aufgegeben hätte, ist nicht erwiesen. Für die Zeit ihrer Geschäftsführertätigkeit vermag sie sich sodann nicht zu exkulpieren.</w:t>
      </w:r>
    </w:p>
    <w:p>
      <w:r>
        <w:rPr>
          <w:b/>
        </w:rPr>
        <w:t>E. 5.1</w:t>
      </w:r>
    </w:p>
    <w:p>
      <w:r>
        <w:t>Schliesslich setzt die Schadenersatzpflicht des Arbeitgebers nach Art. 52 Abs. 1 AHVG voraus, dass zwischen der absichtlichen oder grobfahrlässigen Miss ach tung von Vorschriften und dem eingetretenen Schaden ein adäquater Kausalzu sammenhang gegeben ist (BGE 119 V 401 E. 4a mit Hinweisen auf die Lehre, 103</w:t>
      </w:r>
    </w:p>
    <w:p>
      <w:r>
        <w:t>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5.2</w:t>
      </w:r>
    </w:p>
    <w:p>
      <w:r>
        <w:t>Der Kausalzusammenhang ist zu bejahen, e in Mitverschulden der Beschwerde gegnerin besteht nicht.</w:t>
      </w:r>
    </w:p>
    <w:p>
      <w:r>
        <w:rPr>
          <w:b/>
        </w:rPr>
        <w:t>E. 6</w:t>
      </w:r>
    </w:p>
    <w:p>
      <w:r>
        <w:t>Nach dem Gesagten ist die Beschwerde abzuweisen.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 setzung erfüllt ist (Art. 42 Abs. 2 Satz 2 BGG).</w:t>
      </w:r>
    </w:p>
    <w:p>
      <w:r>
        <w:t>Soweit keine Beschwerde nach Art. 82 ff. BGG zulässig ist, kann gegen diesen Entscheid innert der gleichen Frist von 30 Tagen seit der Zustellung beim Bundes 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 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