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AK.2016.00051 vom 17. Januar 2018</w:t>
      </w:r>
    </w:p>
    <w:p>
      <w:r>
        <w:t>ZH Sozialversicherungsgericht, 2018-01-17, DE</w:t>
      </w:r>
    </w:p>
    <w:p>
      <w:r>
        <w:rPr>
          <w:b/>
        </w:rPr>
        <w:t xml:space="preserve">Quelle: </w:t>
      </w:r>
      <w:r>
        <w:t>https://mcp.opencaselaw.ch/entscheid/zh_sozialversicherungsgericht_AK.2016.00051</w:t>
      </w:r>
    </w:p>
    <w:p>
      <w:r>
        <w:t>FR: ZH_SOZIALVERSICHERUNGSGERICHT AK.2016.00051 du 17 janvier 2018</w:t>
      </w:r>
    </w:p>
    <w:p>
      <w:r>
        <w:t>IT: ZH_SOZIALVERSICHERUNGSGERICHT AK.2016.00051 del 17 gennaio 2018</w:t>
      </w:r>
    </w:p>
    <w:p>
      <w:pPr>
        <w:pStyle w:val="Heading2"/>
      </w:pPr>
      <w:r>
        <w:t>Erwägungen</w:t>
      </w:r>
    </w:p>
    <w:p>
      <w:r>
        <w:rPr>
          <w:b/>
        </w:rPr>
        <w:t>E. 1</w:t>
      </w:r>
    </w:p>
    <w:p>
      <w:r>
        <w:t>X.___ war vom 15. September 2014 bis 15. April 2015 (Tagesregister-Datum) als Gesellschafter und Geschäftsführer der Z.___ im Handels register eingetragen (Urk. 7/99). Der zuvor einzige Gesellschafter und Ge schäfts führer der Gesellschaft, Y.___, amtete laut Handelsregistereintrag in die ser Zeit als Vorsitzender der Geschäftsführung (Urk. 7/1, Urk. 7/99). Die Gesell schaft war der Sozialversicherungsanstalt des Kantons Zürich, Ausgleichs kasse, als beitragspflichtige Arbeitgeberin angeschlossen (vgl. Urk. 7/5).</w:t>
      </w:r>
    </w:p>
    <w:p>
      <w:r>
        <w:t>U nter Hinweis auf eine Forderung , für welche Verlustscheine ausgestellt worden waren, forderte die Ausgleichskasse m it Verfügungen vom 12. April 201</w:t>
      </w:r>
    </w:p>
    <w:p>
      <w:r>
        <w:rPr>
          <w:b/>
        </w:rPr>
        <w:t>E. 1.1</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 rung oder Liquidation befassten Personen. Sind mehrere Personen für den glei 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Erwerbsersatz - ( Art. 21 Abs. 2 des Bundesgesetzes über den Erwerbsersatz für Dienstleistende und bei Mutterschaft) und Arbeitslosenversicherungsbeiträge ( Art.</w:t>
      </w:r>
    </w:p>
    <w:p>
      <w:r>
        <w:rPr>
          <w:b/>
        </w:rPr>
        <w:t>E. 6</w:t>
      </w:r>
    </w:p>
    <w:p>
      <w:r>
        <w:t>Demnach ist in teilweiser Gutheissung der Beschwerde der Einspracheent scheid der Beschwerdegegnerin vom 16. August 2016 dahingehend abzuändern, als der Beschwerde führer verpflichtet wird, Schadenersatz in der Höhe von Fr. 23‘028.90 zu bezahlen. Im Übrigen ist die Beschwerde abzuweisen. Das Gericht erkennt: 1.</w:t>
      </w:r>
    </w:p>
    <w:p>
      <w:r>
        <w:t>In teilweiser Gutheissung der Beschwerde wird der Einspracheentscheid der Beschwerdegegnerin vom 16. August 2016 dahingehend abgeändert, als der Beschwerdeführer verpflichtet wird, Schadenersatz in der Höhe von Fr. 23‘028.90 zu bezahlen. Im Übrigen wird die Beschwerde abgewiesen . 2.</w:t>
      </w:r>
    </w:p>
    <w:p>
      <w:r>
        <w:t>Das Verfahren ist kostenlos. 3.</w:t>
      </w:r>
    </w:p>
    <w:p>
      <w:r>
        <w:t>Zustellung gegen Empfangsschein an: - X.___ - Sozialversicherungsanstalt des Kantons Zürich, Ausgleichskasse - Y.___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 scheid innert der gleichen Frist von 30 Tagen seit der Zustellung beim Bundes 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