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AK.2016.00040 vom 29. Mai 2017</w:t>
      </w:r>
    </w:p>
    <w:p>
      <w:r>
        <w:t>ZH Sozialversicherungsgericht, 2017-05-29, DE</w:t>
      </w:r>
    </w:p>
    <w:p>
      <w:r>
        <w:rPr>
          <w:b/>
        </w:rPr>
        <w:t xml:space="preserve">Quelle: </w:t>
      </w:r>
      <w:r>
        <w:t>https://mcp.opencaselaw.ch/entscheid/zh_sozialversicherungsgericht_AK.2016.00040</w:t>
      </w:r>
    </w:p>
    <w:p>
      <w:r>
        <w:t>FR: ZH_SOZIALVERSICHERUNGSGERICHT AK.2016.00040 du 29 mai 2017</w:t>
      </w:r>
    </w:p>
    <w:p>
      <w:r>
        <w:t>IT: ZH_SOZIALVERSICHERUNGSGERICHT AK.2016.00040 del 29 maggio 2017</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1.2</w:t>
      </w:r>
    </w:p>
    <w:p>
      <w:r>
        <w:t>Im Konkursverfahren der Y.___ AG lag der Kollokationsplan vom 31. Mai bis 20. Juni 2013 und das Inventar vom 31. Mai bis 10. Juni 2013 zur Einsicht auf (Urk. 3/10).</w:t>
      </w:r>
    </w:p>
    <w:p>
      <w:r>
        <w:t>Mit Schreiben vom 7. März 2014 an das Konkursamt Z.___ (Urk. 11/24) redu zierte die Ausgleichskasse SBV ihre Konkursforderung auf Fr. 127‘337.45. Am 11. April 2014 wurde die Forderung abermals reduziert, und zwar auf Fr. 101‘114.90 (Urk. 11/26).</w:t>
      </w:r>
    </w:p>
    <w:p>
      <w:r>
        <w:rPr>
          <w:b/>
        </w:rPr>
        <w:t>E. 1.2.1</w:t>
      </w:r>
    </w:p>
    <w:p>
      <w:r>
        <w:t>Der Schaden gilt als eingetreten, sobald anzunehmen ist, dass die geschulde 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 gen Arbeitgebers nicht mehr möglich ist (vgl. beispielsweise BGE 121 V 234, 240). Im ersten Fall gilt der Schaden als eingetreten, sobald die Beiträge ver 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 achtung der ihr zumutbaren Aufmerksamkeit erkennen muss, dass die tat sächlichen Gegebenheiten nicht mehr erlauben, die Beiträge einzufordern, wohl aber eine Schadenersatzpflicht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 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 rungen eröffnet beziehungsweise der Kollokationsplan (und das Inventar) zur Einsicht aufgelegt wird. In diesem Zeitpunkt ist oder wäre der Gläubiger im Allgemeinen in der Lage, den Stand der Aktiven, die Kollokation seiner For derung und die voraussichtliche Dividende zu kennen (BGE 126 V 443 E. 3a, 119 V 89 E. 3, je mit Hinweisen). 2.</w:t>
      </w:r>
    </w:p>
    <w:p>
      <w:r>
        <w:rPr>
          <w:b/>
        </w:rPr>
        <w:t>E. 1.3</w:t>
      </w:r>
    </w:p>
    <w:p>
      <w:r>
        <w:t>Mit Verfügung vom 19. Oktober 2015 (Urk. 3/2) verpflichtete die Ausgleichs kasse SBV X.___, ehemals Delegierter des Verwaltungsrats der Kon kursitin, zur Zahlung von Schadenersatz in der Höhe von Fr. 89‘979.45. Mit im Wesentlichen gleichlautenden Verfügungen, die ebenfalls am 19. Oktober 2015 ergingen, verpflichtete die Ausgleichskasse SBV auch die übrigen ehe maligen Verwaltungsratsmitglieder der Y.___ AG solidarisch zur Be zahlung des genannten Schadenersatzbetrages (separate Verfahren; vgl. dazu jeweils Urk. 3/5 in den Prozessen Nrn. AK.2016.00037, AK.2016.00038 und AK.2016.00039).</w:t>
      </w:r>
    </w:p>
    <w:p>
      <w:r>
        <w:t>Die von X.___ erhobene Einsprache vom 2. November 2015 (Urk. 3/3) wies die Ausgleichskasse SBV mit Entscheid vom 18. Juli 2016 (Urk. 2) ab.</w:t>
      </w:r>
    </w:p>
    <w:p>
      <w:r>
        <w:rPr>
          <w:b/>
        </w:rPr>
        <w:t>E. 2</w:t>
      </w:r>
    </w:p>
    <w:p>
      <w:r>
        <w:t>des Bundesgesetzes über den Erwerbsersatz für Dienstleis tende und bei Mutterschaft) und Arbeitslosenversicherungsbeiträge ( Art.</w:t>
      </w:r>
    </w:p>
    <w:p>
      <w:r>
        <w:rPr>
          <w:b/>
        </w:rPr>
        <w:t>E. 2.1</w:t>
      </w:r>
    </w:p>
    <w:p>
      <w:r>
        <w:t>Strittig und zu prüfen ist, ob die streitgegenständliche Forderung verjährt ist beziehungsweise wann die zweijährige Verjährungsfrist von Art. 52 Abs. 3 AHVG ausgelöst wurde.</w:t>
      </w:r>
    </w:p>
    <w:p>
      <w:r>
        <w:rPr>
          <w:b/>
        </w:rPr>
        <w:t>E. 2.2</w:t>
      </w:r>
    </w:p>
    <w:p>
      <w:r>
        <w:t>Die Beschwerdegegnerin vertrat insoweit im angefochtenen Einspracheent scheid (Urk. 2) die Auffassung, dass der Kollokationsplan und das Inventar zum Zeitpunkt ihrer Auflage nicht genug umfassend gewesen seien, um mit Sicherheit einen entstehenden Schaden erkennen zu können. Die Konkurs verwaltung habe keine Angaben über eine mögliche Dividende machen kön nen. Die Schadenskenntnis habe sie erst durch die Kenntnisnahme der Ver teilungsliste und der Schlussabrechnung sowie nach Ausstellung des Kon kursverlustscheines erlangt.</w:t>
      </w:r>
    </w:p>
    <w:p>
      <w:r>
        <w:t>Im vorliegenden Prozess äusserte sich die Beschwerdegegnerin nicht mehr zur Verjährungsfrage (vgl. Urk. 10).</w:t>
      </w:r>
    </w:p>
    <w:p>
      <w:r>
        <w:rPr>
          <w:b/>
        </w:rPr>
        <w:t>E. 2.3</w:t>
      </w:r>
    </w:p>
    <w:p>
      <w:r>
        <w:t>Demgegenüber liess der Beschwerdeführer im Wesentlichen ausführen (Urk. 1 S. 6 f.), dass die Beschwerdegegnerin seit der Auflage des Kollokationsplanes am 31. Mai 2013 eine hinreichende Schadenskenntnis gehabt habe. Schlicht falsch sei die Behauptung der Beschwerdegegnerin, dass die Konkursverwal tung keine Angaben über die Konkursdividende gemacht habe. Aus dem Kollokationsplan sei ersichtlich, dass das Konkursamt von einer Konkursdivi dende von 4 % ausgegangen sei. Die von der Beschwerdegegnerin behauptete Schadenersatzforderung sei bereits verjährt gewesen, als die Schadenersatz verfügung erlassen worden sei. 3. 3.1</w:t>
      </w:r>
    </w:p>
    <w:p>
      <w:r>
        <w:t>Wie oben in E. 1.2.3 dargelegt wurde, hat die Ausgleichskasse nach ständiger Praxis in der Regel bereits dann ausreichende Kenntnis des Schadens, wenn die Kollokation der Forderungen eröffnet beziehungsweise der Kollokations plan (und das Inventar) zur Einsicht aufgelegt wird. In diesem Zeitpunkt ist oder wäre sie im Allgemeinen in der Lage, den Stand der Aktiven, die Kollo kation ihrer Forderung und die voraussichtliche Dividende zu kennen (BGE 126 V 443 E. 3a, 119 V 89 E. 3, je mit Hinweisen). Kommt dieser Grundsatz auch im vorliegenden Fall zur Anwendung, dann wäre die streitgegenständ liche Forderung ohne Weiteres als verjährt zu qualifizieren, da die Schaden ersatzverfügung erst am 19. Oktober 2015 (Urk. 3/2) erlassen wurde, mithin nach Ablauf der zweijährigen Frist von Art. 52 Abs. 3 Satz 1 AHVG, welche am 20. Juni 2013 in Gang gesetzt wurde (Ende der Auflagefrist des Kolloka tionsplanes; BGE 121 V 234). 3.2 3.2.1</w:t>
      </w:r>
    </w:p>
    <w:p>
      <w:r>
        <w:t>Zu prüfen bleibt der unsubstantiiert vorgetragene Einwand der Beschwerdegeg nerin, wonach der Kollokationsplan und das Inventar zum Zeitpunkt ihrer Auflage nicht genug umfassend gewesen seien, um mit Si cherheit einen entstehenden Schaden erkennen zu können. Die Konkursver waltung habe keine Angaben über eine mögliche Dividende machen können (Urk. 2 Ziff. II lit. E). 3.2.2</w:t>
      </w:r>
    </w:p>
    <w:p>
      <w:r>
        <w:t>Im Konkurs der Y.___ AG wurden - wie erwähnt - das Inventar und der Kollokationsplan vom 31. Mai bis 10. beziehungsweise 20. Juni 2013 zur Einsicht aufgelegt (Urk. 3/10). Das Konkursamt Z.___ führte im Kollokations plan vom 22. Mai 2013 aus (Urk. 3/11 S. 8), dass die Forderungen der ersten Klasse voraussichtlich zu 100 % und diejenigen der zweiten Klasse zu 4 % befriedigt werden, während die Kurrentgläubiger (dritte Klasse) voll zu Scha den kommen würden. Das Konkursamt fügte an, dass diese Schätzung unter allem Vorbehalt und ohne Gewähr erfolge.</w:t>
      </w:r>
    </w:p>
    <w:p>
      <w:r>
        <w:t>Aus dem Kollokationsplan geht - entgegen den (unsubstantiierten) Behauptun gen im angefochtenen Einspracheentscheid - unmissverständlich hervor, dass die Forderung der Beschwerdegegnerin, die gemäss Art. 219 Abs. 4 SchKG in die zweite Klasse fällt, weitgehend ungedeckt bleiben wird. Die Aussage des Kon kursamtes ist weder vage noch missverständlich, son dern klar. Auch die Zahlen sprechen eine deutliche Sprache: Das Konkursamt rechnete für die zweite Klasse mit einer Konkursdividende von 4 % (Urk. 3/11 S. 8). Mithin hatte die Beschwerdegegnerin mit einem Verlust von 96 % ihrer Forderung zu rechnen. Der Umstand, dass die Konkursdividende für die zweite Klasse schliesslich doch noch 16,6 % betragen sollte (Urk. 2 S. 2 lit. E), ändert nichts daran, dass die Beschwerdegegnerin zu Verlust kam und dies bereits bei Auflage von Inventar und Kollokationsplan erkennbar war. Rechtsprechungsgemäss genügt die Kenntnis eines Teilschadens, um die Verjährungsfrist in Gang zu setzen (Urteil des Bundesgerichts 9C_407/2011 vom 26. Juli 2011 E. 2.1).</w:t>
      </w:r>
    </w:p>
    <w:p>
      <w:r>
        <w:t>Dass das Konkursamt die Angaben „unter allem Vorbehalt“ und „ohne Ge währ“ machte, ist unerheblich . Es handelt sich dabei um sogenannte Floskeln,</w:t>
      </w:r>
    </w:p>
    <w:p>
      <w:r>
        <w:t>die einzig darauf hinweisen sollen, dass es - wie in jedem Konkursverfahren - rein theoretisch möglich ist, dass sich unvorhersehbar noch irgendetwas än dern könnte (etwa plötzliches Auftauchen neuer Vermögenswerte, unerwartet geringer oder hoher Verwertungserlös, Verzichtserklärungen von Gläubigern oder dergleichen). Die genannten Standardfloskeln werden in Kollokations plänen regelmässig abgedruckt und haben keinerlei weitergehende Bedeu tung. Entgegen der Auffassung der Beschwerdegegne rin führen sie jedenfalls nicht dazu , dass die Aussagen des Konkursamtes „nicht genug umfassend“ oder gar vage gewesen wären.</w:t>
      </w:r>
    </w:p>
    <w:p>
      <w:r>
        <w:t>Aus dem Kollokationsplan liess sich im Gegenteil einzig und allein schlies sen, dass die Beschwerdegegnerin praktisch vollständig zu Schaden kommen werde. Dies ist dann auch so eingetreten, wenn auch mit einer leicht höheren Konkursdividende (16,6 % statt wie zunächst angenommen 4 %). Angesichts der damals noch nicht definitiven Höhe der Konkursdividende hätte die Be schwerdegegnerin den Beschwerdeführer zum Ersatz des ganzen Schadens verpflichten und ihm im Gegenzug gleichzeitig eine allfällige Konkursdivi dende abtreten müssen (Ueli Kieser, Rechtsprechung des Bundesgerichts zur Alters- und Hinterlassenenversicherung, 3. Auflage, Zürich/Basel/Genf 2012, N 90 zu Art. 52 AHVG unter Hinweis auf BGE 113 V 180 E. 3b). Damit wäre die Verjährungsfrist von Art. 52 Abs. 3 AHVG gewahrt worden. 3.3</w:t>
      </w:r>
    </w:p>
    <w:p>
      <w:r>
        <w:t>Aus dem Gesagten folgt ohne Weiteres, dass die streitgegenständliche Forde rung verjährt ist. Demzufolge ist in Gutheissung der Beschwerde der Ein spracheentscheid vom 18. Juli 2016 (Urk. 2) aufzuheben. 4.</w:t>
      </w:r>
    </w:p>
    <w:p>
      <w:r>
        <w:t>Nach § 34 Abs. 1 GSVGer hat die obsiegende Beschwerde führende Person Anspruch auf Ersatz der Parteikosten. Diese werden ohne Rücksicht auf den Streitwert nach der Bedeutung der Streitsache, der Schwierigkeit des Prozes ses und dem Mass des Obsiegens bemessen (§ 34 Abs. 3 GSVGer). Angesichts des Umfangs der Akten und der Bedeutung der Streitsache erscheint eine Prozessentschädigung in der Höhe von Fr. 2‘200. (inklusive Barauslagen und Mehrwertsteuer) angemessen. Dabei ist zu berücksichtigen, dass der Rechtsvertreter des Beschwerdeführers sich nicht allein auf die streitentschei dende Frage des Eintritts der Verjährung beschränken durfte, sondern auf grund der anwaltlichen Sorgfaltspflicht gehalten war, sich auch zu den übri gen strittigen Punkten zu äussern. Demzufolge ist die Beschwerdegegnerin zu verpflichten, dem Beschwerdeführer eine Prozessentschädigung in der Höhe von Fr. 2‘200.-- (inklusive Barauslagen und Mehrwertsteuer) zu bezahlen. Das Gericht erkennt: 1.</w:t>
      </w:r>
    </w:p>
    <w:p>
      <w:r>
        <w:t>In Gutheissung der Beschwerde wird der angefochtene Einspracheentscheid vom 18. Juli 2016 aufgehoben. 2.</w:t>
      </w:r>
    </w:p>
    <w:p>
      <w:r>
        <w:t>Das Verfahren ist kostenlos. 3.</w:t>
      </w:r>
    </w:p>
    <w:p>
      <w:r>
        <w:t>Die Beschwerdegegnerin wird verpflichtet, dem Beschwerdeführer ei ne Prozessent schädigung von Fr. 2‘200. (inklusive Barauslagen und Mehrwertsteuer ) zu be zahlen. 4.</w:t>
      </w:r>
    </w:p>
    <w:p>
      <w:r>
        <w:t>Zustellung gegen Empfangsschein an: - Rechtsanwalt Michael R. Kloter - Ausgleichskasse Schweizerischer Baumeisterverband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6</w:t>
      </w:r>
    </w:p>
    <w:p>
      <w:r>
        <w:t>des Bundesgesetzes über die obligatorische Arbeitslosenversicherung und die Insolvenzentschädigung) sowie auf jene an die Familienausgleichskassen (FAK) gemäss dem Bundesgesetz über die Familienzulagen ( Art. 25 lit. c). Gleiches gilt für die bis 3 1. Dezember 2008 nach kantonalem Recht erhobe nen FAK-Beiträge ( § 33 Abs. 2 des Gesetzes über Kinderzulagen für Arbeit nehmer in der bis Ende 2007 gültig gewesenen Fassung bzw. § 33 des ab 1. Januar 2008 bis 3 0. Juni 2009 gültig gewesenen Kinderzulagengesetzes; nicht publiziertes Urteil des Bundesgerichts 2P.251/19 96 vom 30.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