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AK.2016.00009 vom 27. Oktober 2017</w:t>
      </w:r>
    </w:p>
    <w:p>
      <w:r>
        <w:t>ZH Sozialversicherungsgericht, 2017-10-27, DE</w:t>
      </w:r>
    </w:p>
    <w:p>
      <w:r>
        <w:rPr>
          <w:b/>
        </w:rPr>
        <w:t xml:space="preserve">Quelle: </w:t>
      </w:r>
      <w:r>
        <w:t>https://mcp.opencaselaw.ch/entscheid/zh_sozialversicherungsgericht_AK.2016.00009</w:t>
      </w:r>
    </w:p>
    <w:p>
      <w:r>
        <w:t>FR: ZH_SOZIALVERSICHERUNGSGERICHT AK.2016.00009 du 27 octobre 2017</w:t>
      </w:r>
    </w:p>
    <w:p>
      <w:r>
        <w:t>IT: ZH_SOZIALVERSICHERUNGSGERICHT AK.2016.00009 del 27 ottobre 2017</w:t>
      </w:r>
    </w:p>
    <w:p>
      <w:pPr>
        <w:pStyle w:val="Heading2"/>
      </w:pPr>
      <w:r>
        <w:t>Erwägungen</w:t>
      </w:r>
    </w:p>
    <w:p>
      <w:r>
        <w:rPr>
          <w:b/>
        </w:rPr>
        <w:t>E. 1.1</w:t>
      </w:r>
    </w:p>
    <w:p>
      <w:r>
        <w:t>Nach Art. 52 Abs. 1 des Bundesgesetzes über die Alters- und Hinter- lassenenversi 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2</w:t>
      </w:r>
    </w:p>
    <w:p>
      <w:r>
        <w:t>Gegen den Einspracheentscheid vom 4. März 2016 erhob X.___ am 24. März 2016 Beschwerde und beantragte dessen Aufhebung (Urk. 1). Mit Be schwerdeantwort vom 28. April 2016 schloss die Ausgleichskasse auf Abwei sung der Beschwerde (Urk. 5), was der Beschwerdeführerin mit Gerichtsverfü gung vom 2. Mai 2016 zur Kenntnis gebracht wurde (Urk. 7).</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w:t>
      </w:r>
    </w:p>
    <w:p>
      <w:r>
        <w:t>Der von der Beschwerdegegnerin verfügungsweise geltend gemachte Schaden (Urk. 6/141) für die unbezahlt gebliebenen Beiträge und Nebenkosten wird von der Beschwerdeführerin in masslicher Hinsicht nicht bestritten. Er ist anhand der Kassenakten – insbesondere der Beitragsübersicht vom 27. April 2016 und des gleichentags erstellten Kontoauszugs (Urk. 6/153-154) – hinreichend sub stantiiert dargelegt.</w:t>
      </w:r>
    </w:p>
    <w:p>
      <w:r>
        <w:rPr>
          <w:b/>
        </w:rPr>
        <w:t>E. 2.3</w:t>
      </w:r>
    </w:p>
    <w:p>
      <w:r>
        <w:t>Die Beschwerdegegnerin reduzierte im angefochtenen Einspracheentscheid – wie bereits ausgeführt – die von der Beschwerdegegnerin geforderte Schaden ersatzsumme von Fr. 141‘981.40 auf Fr. 141‘457.95. Dabei ging sie zutreffen derweise davon aus, dass die nach dem Ausscheiden der Beschwerdeführerin als Gesellschafterin und Geschäftsführerin der Y.___ in Rechnung gestellten Betreibungs- und Mahnkosten nicht der Pflichtigen ange lastet werden können.</w:t>
      </w:r>
    </w:p>
    <w:p>
      <w:r>
        <w:rPr>
          <w:b/>
        </w:rPr>
        <w:t>E. 2.4</w:t>
      </w:r>
    </w:p>
    <w:p>
      <w:r>
        <w:t>Mangels offenkundiger Anhaltspunkte für Berechnungsfehler ist die Schadensbe rechnung der Beschwerdegegnerin zu bestätigen und von einem vorliegend relevanten Schadensbetrag von Fr. 141‘457.95 auszugehen. 3.</w:t>
      </w:r>
    </w:p>
    <w:p>
      <w:r>
        <w:rPr>
          <w:b/>
        </w:rPr>
        <w:t>E. 3</w:t>
      </w:r>
    </w:p>
    <w:p>
      <w:r>
        <w:t>Auf die Ausführungen der Parteien und die eingereichten Unterlagen wird, so 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w:t>
      </w:r>
    </w:p>
    <w:p>
      <w:r>
        <w:rPr>
          <w:b/>
        </w:rPr>
        <w:t>E. 3.2</w:t>
      </w:r>
    </w:p>
    <w:p>
      <w:r>
        <w:t>Aus den Akten ist ersichtlich, dass die Y.___ den ihr als Arbeitgeberin obliegenden Zahlungsverpflichtungen nur unvollständig nach kam. Die Beschwerdegegnerin sah sich deshalb veranlasst, die Gesellschaft wie derholt zu mahnen und mehrere Schuldbetreibungsverfahren einzuleiten (vgl. Urk. 6/153). Hinzu kommt, dass die Konkursitin sowohl am 20. März 2012 (Urk. 6/16) wie auch am 18. März 2013 – die Gesellschaft bestand erst seit März 2011 – um einen Zahlungsaufschub für die Begleichung der ausstehenden Bei träge ersuchte, wobei die Raten – wenn überhaupt – zumeist verspätet bezahlt wurden (Urk. 6/17 S. 2, 6/56 und 6/59 S. 2). Schliesslich blieben geschuldete Sozialversicherungsbeiträge (inklusive Nebenkosten) in der Höhe von Fr. 141‘981.40 unbezahlt, wovon in diesem Prozess – wie ausgeführt – Fr. 141‘457.95 relevant sind (vgl. 2.3 hievor). Damit ist die Konkursitin ihren Pflichten als Arbeitgeberin selbstredend nicht nachgekommen und hat öffent lichrechtliche Vorschriften missachtet.</w:t>
      </w:r>
    </w:p>
    <w:p>
      <w:r>
        <w:t>Zu prüfen bleibt, ob und inwieweit der entstandene Schaden auf ein qualifiziert schuldhaftes Verhalten der Beschwerdeführerin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w:t>
      </w:r>
    </w:p>
    <w:p>
      <w:r>
        <w:t>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 4.2.2</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4.2.3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(BGE 126 V 237 ff.). 4.3</w:t>
      </w:r>
    </w:p>
    <w:p>
      <w:r>
        <w:t>4.3.1</w:t>
      </w:r>
    </w:p>
    <w:p>
      <w:r>
        <w:t>Die Beschwerdeführerin brachte zu ihrer Entlastung unter Hinweis auf die Bi lanz der Y.___ vor, im Zeitpunkt ihres Ausscheidens habe diese über genügend Aktiven verfügt, um die Sozialversicherungsbeiträge zu bezahlen. Nachher sei die Beitragspflicht auf den neuen Geschäftsführer übergegangen, der sämtliche Pflichten und Schulden des Unternehmens über nommen habe. Sie treffe deshalb keine Haftung mehr (Urk. 1). 4.3.2</w:t>
      </w:r>
    </w:p>
    <w:p>
      <w:r>
        <w:t>Vorweg ist festzuhalten, dass im vorliegenden Prozess nicht zu untersuchen ist, was der Inhalt der mit Z.___ im Zusammenhang mit dem Verkauf der Y.___ getroffenen Vereinbarung war und ob sie vom Käufer erfüllt worden ist. Zu entscheiden ist einzig, ob die Y.___ die ihr als Arbeitgeberin obliegenden Pflichten verletzt hat und ob gegebenenfalls ein qualifiziertes Verschulden der Beschwerdeführerin zu beja hen ist. 4.3.3</w:t>
      </w:r>
    </w:p>
    <w:p>
      <w:r>
        <w:t>Die Beschwerdeführerin war seit der Eintragung der Y.___ im Handelsregister des Kantons Zürich am 28. März 2011 bis zu ihrem Austritt am 13. Dezember 2013 als deren Gesellschafterin und Geschäftsführerin mit Einzelzeichnungsberechtigung aufgeführt. Ihr kommt somit in der betref fenden Zeitperiode formelle Organeigenschaft zu.</w:t>
      </w:r>
    </w:p>
    <w:p>
      <w:r>
        <w:t>Die Y.___ war zwar nicht mehr ein eigentliches Klein stunternehmen; trotzdem – auch mit Blick auf die ausgerichtete Lohnsumme – ein Unternehmen mit einfacher Verwaltungsstruktur. Die Verhältnisse, nament lich auch hinsichtlich der beitragsrechtlichen Situation, waren einfach und leicht überschaubar. Bei derartigen Verhältnissen muss von einer Geschäftsfüh rerin einer Gesellschaft mit beschränkter Haftung (GmbH) verlangt werden, dass sie den Überblick über alle wesentlichen Belange des Unternehmens hat. In diesen Konstellationen werden praxisgemäss auch erhöhte Anforderungen an Kenntnis und Erledigung von Abrechnungs- und Zahlungsverkehr mit der Aus gleichskasse gestellt. Denn gemäss Art. 812 Abs. 1 des Obligationenrechts (OR) sind die Geschäftsführer sowie Dritte, die mit der Geschäftsführung befasst sind, verpflichtet, ihre Aufgabe mit aller Sorgfalt zu erfüllen und die Interessen der Gesellschaft in guten Treuen zu wahren. Art. 810 Abs. 2 OR enthält sodann ei nen – im Wesentlichem der aktienrechtlichen Bestimmung von Art. 716a Abs. 1 OR entsprechenden – Katalog unübertragbarer und unentziehbarer Aufgaben. So obliegt den Geschäftsführern insbesondere die Oberleitung der Gesellschaft und die Erteilung der nötigen Weisungen (Ziffer 1), die Ausgestaltung des Rechnungswesens, der Finanzkontrolle sowie der Finanzplanung (Ziffer 3) und die Aufsicht über die Personen, denen Teile der Geschäftsführung übertragen sind, namentlich im Hinblick auf die Befolgung der Gesetze, Statuten, Regle mente und Weisungen (Ziffer 4). Das Gesetz verbietet zwar die Vornahme einer bestimmten Arbeits- und Kompetenzaufteilung nicht, doch die Überwachungs- und Kontrollpflichten v erbleiben auch dann bei der (Gesamt)- Geschäftsführung beziehungsweise bei sämtlichen Geschäftsführern. Deshalb hat sich jeder Ge schäftsführer einer GmbH periodisch über den Geschäftsgang und die wichtigs ten Geschäfte, welche nicht zu seinem primären Aufgabenbereich gehören, zu orientieren, Rapporte zu verlangen, diese sorgfältig zu studieren und nötigen falls ergänzende Auskünfte einzuholen, Irrtümer abzuklären und bei Unregel mässigkeiten einzugreifen. Die Rechtslage ist insoweit nicht anders als bei einer Aktiengesellschaft (vgl. hiezu BGE 114 V 219 E. 4a und E. 4.2.3 hie vor).</w:t>
      </w:r>
    </w:p>
    <w:p>
      <w:r>
        <w:t>Die Beschwerdeführerin hätte daher in der Zeit, als sie formelles Organ der Kon kursitin war, insbesondere dafür besorgt sein müssen, dass von der Gesellschaft die gesetzlichen Vorschriften, wozu auch jene betreffend das Beitragswesen ge hören, eingehalten werden. Erst mit dem Ende der Organstellung endet die Be fugnis zur Vermögensdisposition und somit grundsätzlich auch die Haftung für später entstehende Beitragsschulden. Die Pflichtige kann sich deshalb nicht mit dem Verkauf der Gesellschaft an Z.___ von ihren damals bestande nen Verantwortlichkeiten gegenüber der Beschwerdegegnerin entledigen. Daran ändert auch der Umstand nichts, dass die Jahresabrechnung 2013 (Urk. 6/80) und die Nachzahlungsverfügung für Januar bis März 2012 (Urk. 6/102) nach ihrem Ausscheiden aus der GmbH in Rechnung gestellt wurden. Denn auszu gleichen waren Sozialversicherungsbeiträge beziehungsweise Beitragsschulden, die zu einem Zeitpunkt entstanden waren, als die Beschwerdeführerin noch Geschäftsführerin und Gesellschafterin der Y.___ war. Weder Abrechnungspflicht, Beitragsschuld noch Fälligkeit sind von der Zustel lung einer Rechnung, einer Veranlagungs- oder Nachzahlungsverfügung seitens der Ausgleichskasse abhängig. Die Abrechnungspflicht sowie die Beitragsschuld entstehen im Zeitpunkt der Lohnzahlung (Art. 14 und Art. 51 AHVG; vgl. hiezu bereits Urteil des damaligen Eidgenössischen Versicherungsgerichts H 136/00 vom 29. Dezember 2000 E. 4b). Vor diesem Hintergrund ist eine Pflichtverlet zung der Beschwerdeführerin ausgewiesen, die während der Zeit erfolgte, als sie noch Einfluss auf das Abrechnungs- und Zahlungswesen nehmen konnte. Bei den Nachzahlungen handelte es sich denn auch nicht um geringfügige Abwei chungen von den Akonto-Rechnungen (Art. 24 Abs. 3 AHVV), sondern um eine wesentliche – das heisst eine über 10%ige – Erhöhung der Lohnsumme (Art. 35 Abs. 2 AHVV und Randziffer 2048 der Wegleitung über den Bezug der Beiträge in der AHV, IV und EO [WBB]); vgl. auch Urteil des Bundesgerichts 9C_355/2010 vom 17. August 2010 E. 5.1; ferner Urk. 6/78 und Urk. 6/106). Nach der bundesgerichtlichen Rechtsprechung verhält sich ein Arbeitgeber wi derrechtlich und schuldhaft im Sinne von Art. 52 Abs. 1 AHVG, wenn 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(Urteil des Bundesgerichts 9C_247/2016 vom 10. August 2016 E. 5.1.1 mit Hinweis auf Urteil des Bundesgerichts 9C_335/2010 vom 17. August 2010 E. 5.2.1). Ein Blick in die Bilanz der Y.___ per 14. Dezember 2013 (Urk. 3/3) zeigt, dass das Um laufvermögen – das im Gegensatz zum Anlagevermögen grundsätzlich kurzfris tige Investitionen erlaubt – zum grösseren Teil aus Debitoren bestand, das heisst aus Forderungen, beispielsweise gegenüber Kunden. Die betreffenden Rechnun gen wurden per Bilanzstichtag zwar schon gestellt, aber noch nicht bezahlt. Mittel für die Begleichung der Nachtragsabrechnung standen damit – entgegen der Meinung der Beschwerdeführerin (Urk. 1) – effektiv nicht zur Verfügung, zumal Debitoren-Forderungen auch mit einem gewissen Ausfallrisiko verbun den sind. Zu ergänzen bleibt sodann, dass für die Beurteilung der Verschul densfrage ohnehin entscheidend ist, ob die verantwortlichen Organe (nach aus sen erkennbar) der Pflicht, für eine ordnungsgemässe Bezahlung der Sozialver sicherungsbeiträge zu sorgen, nachgekommen sind (vgl. hiezu bereits das Urteil des damaligen Eidgenössischen Versicherungsgerichts H 34/02 vom 4. März 2004 E. 5.5, ferner etwa auch Urteil des Bundesgerichts 9C_117/2011 vom 29. März 2011 E. 5 mit weiteren Hinweisen). Dies ist aufgrund der vorstehenden Erwägungen zu verneinen. 4.3.4</w:t>
      </w:r>
    </w:p>
    <w:p>
      <w:r>
        <w:t>Werden bei ungenügender Liquidität die einen Schulden bezahlt, andere aber nicht, ist dies grundsätzlich nicht grobfahrlässig. Nach der Rechtsprechung zu Art. 52 AHVG ist es allerdings – allenfalls abgesehen von kurzfristigen Aus ständen – grobfahrlässig, Löhne zu bezahlen, wenn die darauf geschuldeten AHV-Beiträge nicht gedeckt sind. Gegenteiliges Verhalten ist den verantwortli chen Organen grundsätzlich als qualifiziertes Verschulden zuzurechnen, was die volle Schadenersatzpflicht nach sich zieht, sofern die übrigen Haftungsvoraus setzungen ebenfalls erfüllt sind. Der Grund liegt in der besonderen Natur der AHV-Beträge, hinsichtlich welcher der Arbeitgeber die Funktion eines Vollzugs organs ausübt (Art. 51 AHVG). Daraus resultiert eine besondere Pflicht, für die ordnungsgemässe Bezahlung der Beiträge zu sorgen (Urteil des Bundesgerichts 9C_311/2015 vom 9. Juli 2015 E. 4.2.2). Falls daher die Liquiditätssituation die Begleichung der vollen Bruttolöhne zuzüglich des Beitragsanteils des Arbeitge bers nicht zulässt, sind die Lohnzahlungen praxisgemäss auf ein Mass zu redu zieren, welches die Entrichtung der darauf anfallenden Sozialversicherungsbei träge erlaubt (vgl. etwa bereits Urteil des damaligen Eidgenössischen Versiche rungsgerichts H 69/05 vom 15. März 2006 E. 5.3.3 mit Hinweis; ferner Urteil des Bundesgerichts 9C_328/2012 vom 11. Dezember 2012 E. 5.1 mit Hinweis auf Marco Reichmuth, Die Haftung des Arbeitgebers und seiner Organe nach Art. 52 AHVG, 2008, Rz 673 und 952 mit weiteren Hinweisen). Dem ist die Be schwerdeführerin nicht nachgekommen; vielmehr hat sie den Lohnzahlungen – in den Jahren 2012 und 2013 insbesondere auch ihren eigenen Bezügen (Urk. 6/42 S. 3 und Urk. 6/78) – Priorität vor der Beitragsentrichtung einge räumt, welches Verhalten für ein weiteres Ansteigen der Beitragsausstände ver antwortlich war. Dieses Handeln stellt eine Verletzung ihrer öffentlichrechtli chen Pflichten als Geschäftsführerin einer GmbH dar. 4.4</w:t>
      </w:r>
    </w:p>
    <w:p>
      <w:r>
        <w:t>Zusammenfassend ist damit festzuhalten, dass sich die Beschwerdeführerin nicht vom Vorwurf, ihre Obliegenheiten im Zusammenhang mit dem Beitrags weisen grobfahrlässig missachtet zu haben, zu entlasten mag.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 eignis allge mein als begünstigt erscheint (BGE 119 V 401 E. 4a mit Hinweisen; vgl. auch BGE 122 V 189 sowie 119 Ib 334 E. 3c). 5.2</w:t>
      </w:r>
    </w:p>
    <w:p>
      <w:r>
        <w:t>Zwischen dem der Beschwerdeführerin vorzuwerfenden widerrechtlichen Verhal ten und dem eingetretenen Schaden ist der Kausalzusammenhang ohne Weiteres zu bejahen. Denn es ist anzunehmen, dass ein pflichtgemässes Ver halten den Schaden verhindert hätte.</w:t>
      </w:r>
    </w:p>
    <w:p>
      <w:r>
        <w:rPr>
          <w:b/>
        </w:rPr>
        <w:t>E. 6</w:t>
      </w:r>
    </w:p>
    <w:p>
      <w:r>
        <w:t>Nach dem Dargelegten wurde die Beschwerdeführerin zu Recht verpflichtet, für den eingetretenen Schaden im Umfang von Fr. 141‘457.95 Ersatz zu leisten.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