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AK.2015.00036 vom 12. Juni 2017</w:t>
      </w:r>
    </w:p>
    <w:p>
      <w:r>
        <w:t>ZH Sozialversicherungsgericht, 2017-06-12, DE</w:t>
      </w:r>
    </w:p>
    <w:p>
      <w:r>
        <w:rPr>
          <w:b/>
        </w:rPr>
        <w:t xml:space="preserve">Quelle: </w:t>
      </w:r>
      <w:r>
        <w:t>https://mcp.opencaselaw.ch/entscheid/zh_sozialversicherungsgericht_AK.2015.00036</w:t>
      </w:r>
    </w:p>
    <w:p>
      <w:r>
        <w:t>FR: ZH_SOZIALVERSICHERUNGSGERICHT AK.2015.00036 du 12 juin 2017</w:t>
      </w:r>
    </w:p>
    <w:p>
      <w:r>
        <w:t>IT: ZH_SOZIALVERSICHERUNGSGERICHT AK.2015.00036 del 12 giugno 2017</w:t>
      </w:r>
    </w:p>
    <w:p>
      <w:pPr>
        <w:pStyle w:val="Heading2"/>
      </w:pPr>
      <w:r>
        <w:t>Erwägungen</w:t>
      </w:r>
    </w:p>
    <w:p>
      <w:r>
        <w:rPr>
          <w:b/>
        </w:rPr>
        <w:t>E. 1</w:t>
      </w:r>
    </w:p>
    <w:p>
      <w:r>
        <w:t>Die Y.___ AG mit Sitz in A.___ war seit der Eintragung ins Handelsre gister am 7. März 2011 bis zur Sitzverlegung nach Zürich (und Um firmierung in Y.___ AG) am 8. Juni 2012 der Ausgleichskasse Schwyz als beitragspflichtige Arbeitgeberin angeschlossen und rechnete mit ihr die pa ritätischen und FAK-Beiträge ab ( Urk. 2/4/ 5/ 9 und Urk. 2/4/5/1 ff.). Nach einer weiteren Sitzverlegung nach Z.___ am 1 7. Oktober 2013 eröffnete der Kon kursrichter des Bezirksgerichts B.___ mit Urteil vom 1 9. März 2014 den Kon kurs über die Gesellschaft. Das Konkursverfahren wurde mit Urteil des Kon kursrichters vom 1 9. Mai 2014 mangels Aktiven eingestellt ( Urk. 2/4/ 5/ 9).</w:t>
      </w:r>
    </w:p>
    <w:p>
      <w:r>
        <w:t>Mit Verfügung vom 2 7. August 2014 ( Urk. 2/4/5/10) verpflichtete die Ausgleichs kasse Schwyz X.___ , ehemaliges Mitglied des Verwaltungsrats mit Einzelunterschrift, - in solidarischer Haftung mit C.___ – zur Bezahlung von Schadenersatz für entgangene Beiträge betreffend die Periode März 2011 bis Juni 2012 in der Höhe von Fr. 63‘500.8 5. Die dage gen erhobene Einsprache ( Urk. 2/4/5/12) wies die Ausgleichskasse Schwyz mit Entscheid vom 2. März 2015 ( Urk. 2/2) ab.</w:t>
      </w:r>
    </w:p>
    <w:p>
      <w:r>
        <w:rPr>
          <w:b/>
        </w:rPr>
        <w:t>E. 2</w:t>
      </w:r>
    </w:p>
    <w:p>
      <w:r>
        <w:t>Am 1 6. April 2015 ( Urk. 2/1) erhob X.___ beim Verwaltungs gericht des Kantons Schwyz Beschwerde gegen den Einsprache entscheid vom 2. März 2015 und beantragte dessen Aufhebung. Die Ausgleichs kasse Schwyz ersuchte am 2 3. April 2015 ( Urk. 2/4/4) um Abweisung der Be schwerde. Am 2 2. Juni 2015 ( Urk. 2/4/10) hielt der Beschwerdeführer an seinen Anträgen fest und schloss - im Rahmen des rechtlichen Gehörs zur Frage der Zuständigkeit des angerufenen Gerichts ( Urk. 2/3/13) – am 1 5. Juli 2015 ( Urk. 2/3/14) auf die Zuständigkeit des Verwaltungsgerichts des Kantons Schwyz. Die Ausgleichskasse Schwyz liess sich nicht mehr vernehmen. Mit Entscheid vom 2 2. Juli 2015 ( Urk. 1/1) trat das Verwaltungsgericht des Kantons Schwyz mangels örtlicher Zuständigkeit auf die Beschwerde nicht ein und überwies die Akten dem Sozialversicherungsgericht des Kantons Zürich. Das Gericht zieht in Erwägung: 1.</w:t>
      </w:r>
    </w:p>
    <w:p>
      <w:r>
        <w:t>Nach Art. 52 Abs. 1 des Bundesgesetzes über die Alters- und Hinterlassenenversi cherung (AHVG) hat ein Arbeitgeber, der durch absichtliche oder gro bf 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2.1</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(Art. 52 Abs. 3 AHVG; vgl. auch BGE 131 V 4 oben).</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 satzforderung seit Kenntnis des Schadens beginnt demnach vom Zeitpunkt der Fruchtloserklärung beziehungsweise von deren Veröffentlichung im Schweize rischen Handelsamtsblatt (SHAB) an zu laufen (BGE 129 V 193 E. 2.3, 128 V 10 E. 5a, 126 V 443 E. 3c).</w:t>
      </w:r>
    </w:p>
    <w:p>
      <w:r>
        <w:rPr>
          <w:b/>
        </w:rPr>
        <w:t>E. 2.2</w:t>
      </w:r>
    </w:p>
    <w:p>
      <w:r>
        <w:t>Das Konkursverfahren über die Y.___ AG wurde am 1 9. Mai 2014 mangels Aktiven eingestellt ( Urk. 2/4/ 5/ 9). Damit wurde die zweijährige Ver jährungsfrist von Art. 52 Abs.</w:t>
      </w:r>
    </w:p>
    <w:p>
      <w:r>
        <w:rPr>
          <w:b/>
        </w:rPr>
        <w:t>E. 3</w:t>
      </w:r>
    </w:p>
    <w:p>
      <w:r>
        <w:t>AHVG ausgelöst. Mit dem Erlass der Schaden ersatzverfügung am 2 7. August 2014 ( Urk. 2/4/5/10) wahrte die Beschwerde gegnerin diese Frist. Die strittige Forderung ist somit nicht verjährt.</w:t>
      </w:r>
    </w:p>
    <w:p>
      <w:r>
        <w:rPr>
          <w:b/>
        </w:rPr>
        <w:t>E. 3.1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w:t>
      </w:r>
    </w:p>
    <w:p>
      <w:r>
        <w:t>Die Ausgleichskasse hat den Schaden so weit zu substantiieren, dass er über prüft werden kann. Einerseits hat sie den geltend gemachten Forderungsbetrag zeitlich und masslich zu spezifizieren, also gestützt auf eine Beitragsübersicht darzulegen, wie sich der geforderte Betrag zusammensetzt. Andererseits hat sie den Betrag zu belegen. Dies geschieht etwa durch Einreichen von Lohnsum menmeldungen , Rechnungen, Revisorenberichten, Nachzahlungs- oder Veranla gungsverfügungen und ist nur erforderlich, wenn die Forderung masslich mit konkreten, nicht ohne W eiteres widerlegbaren Einwendungen bestritten wird oder sich auf Grund der Akten greifbare Anhaltspunkte für Unrichtigkeiten er geben. Anderseits obliegt es dem Schadenersatzpflichtigen, substantiiert darzu legen, weshalb und gegebenenfalls in welchen Punkten die geltend gemachte Zahlungspflicht unbegründet ist (Bundesgerichtsentscheid 9C_314/2008 vom 25. August 2008 E. 3.2, Urteil des Eidgenössischen Versicherungsgerichts</w:t>
      </w:r>
    </w:p>
    <w:p>
      <w:r>
        <w:t>H 34/04 vom 15. September 2004 E. 5.2.1).</w:t>
      </w:r>
    </w:p>
    <w:p>
      <w:r>
        <w:rPr>
          <w:b/>
        </w:rPr>
        <w:t>E. 3.2</w:t>
      </w:r>
    </w:p>
    <w:p>
      <w:r>
        <w:t>Aus den Kontoauszügen/Beitragsübersichten der Jahr 2011 und 2012 vom 2 4. August 2014 ( Urk. 2/4/5/8) ergibt sich, dass für das Jahr 2011 neben Beiträ gen (inklusive Verwaltungskosten) von Fr. 27‘559.25 Mahngebühren von Fr. 320.--, Verzugszinsen von Fr. 2‘732.60 und Betreibungskosten von Fr. 259.70 angefallen sind. Zahlungen gingen in der Höhe von Fr. 4‘678.80 ein. Für das Jahr 2012 erwuchsen Beitragsforderungen (inklusive Verwaltungskos ten) in der Höhe von Fr. 35‘341.90 nebst Mahngebühren von Fr. 240.--, Ver zugszinsen von Fr. 2‘282.10 sowie Betreibungskosten von Fr. 257.9 0.</w:t>
      </w:r>
    </w:p>
    <w:p>
      <w:r>
        <w:t>Zahlungen gingen in der Höhe von Fr. 813.80 ein (vgl. hierzu auch die Abschreibungsübersichten vom 2 2. August 2014, Urk. 2/4/5/6-7).</w:t>
      </w:r>
    </w:p>
    <w:p>
      <w:r>
        <w:t>Den Beitragsforderungen lagen Lohnsummen von Fr. 211‘750.15 (2011) und Fr. 271‘546.95 (2012) zugrunde, welche von der Gesellschaft für das Jahr 2011 am 8. August 2012 ( Urk. 2/4/5/1) und für das Jahr 2012 am 3. Juni 2013 ( Urk. 2/4/5/3) gemeldet wurden (vgl. auch Bericht über die Arbeitgeberkontrolle an Ort und Stelle der Revisionsstelle der Ausgleichskassen vom 6. September 2013, Urk. 2/4/5/4). Dies nachdem der Beschwerdeführer am 8. August 2012 noch geltend gemacht hatte, im ersten Halbjahr 2012 seien keine Löhne ausge richtet worden ( Urk. 2/4/5/2).</w:t>
      </w:r>
    </w:p>
    <w:p>
      <w:r>
        <w:rPr>
          <w:b/>
        </w:rPr>
        <w:t>E. 3.3</w:t>
      </w:r>
    </w:p>
    <w:p>
      <w:r>
        <w:t>Die Berechnung der auf dieser Basis geschuldeten Beiträge beziehungsweise die entsprechende Schadensberechnung wurden vom Beschwerdeführer zu Recht nicht in Zweifel gezogen. Sie erweist sich denn auch korrekt und ist aufgrund der Akten ausgewiesen. Mangels offenkundiger Berechnungsfehler ist somit die Schadensberechnung der Ausgleichskasse von Fr. 63‘500.85 ( Fr. 26‘192.75 + Fr. 37‘308.10) zu bestätigen.</w:t>
      </w:r>
    </w:p>
    <w:p>
      <w:r>
        <w:rPr>
          <w:b/>
        </w:rPr>
        <w:t>E. 4.1</w:t>
      </w:r>
    </w:p>
    <w:p>
      <w:r>
        <w:t>Art. 14 Abs. 1 AHVG und die Art. 34 ff. der Verordnung über die Alters- und Hinterlassenenversicherung (AHVV)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vgl. BGE 132 III 523 E. 4.6).</w:t>
      </w:r>
    </w:p>
    <w:p>
      <w:r>
        <w:rPr>
          <w:b/>
        </w:rPr>
        <w:t>E. 4.2</w:t>
      </w:r>
    </w:p>
    <w:p>
      <w:r>
        <w:t>Aus den Akten ist ersichtlich, dass die Y.___ AG den ihr als Arbeitgebe rin obliegenden Zahlungsverpflichtungen in den Jahren 2011 und 2012 nur un vollständig nachkam. So bezahlte sie insgesamt lediglich sieben Teilraten in Beträgen von Fr. 17.60, Fr. 20.--, Fr. 100.--, Fr. 500.--, Fr. 813.80, Fr. 1‘041.20 sowie Fr. 3‘000.-- ( Urk. 2/4/5/8) und musste mehrfach gemahnt ( Urk. 2/4/5/2 Rückseite) und betrieben ( Urk. 2/4/11/6 S. 2) werden. Es bedarf keiner weiteren Ausführungen, dass die Y.___ AG Vorschriften im Sinne von Art. 52 Abs. 1 AHVG verletzt hat, weshalb der von ihr verursachte Schaden grundsätz lich voll zu decken ist.</w:t>
      </w:r>
    </w:p>
    <w:p>
      <w:r>
        <w:t>Zu prüfen bleibt, inwiewe it diese Missachtung öffentlich rechtlicher</w:t>
      </w:r>
    </w:p>
    <w:p>
      <w:r>
        <w:t>Arbeitgeber pflichten auf vorsätzliches oder gro f ahrlässiges Verhalten des Beschwerdefüh rer s zurückzuführen ist.</w:t>
      </w:r>
    </w:p>
    <w:p>
      <w:r>
        <w:rPr>
          <w:b/>
        </w:rPr>
        <w:t>E. 5.1.1</w:t>
      </w:r>
    </w:p>
    <w:p>
      <w:r>
        <w:t>Die wesentliche Voraussetzung für die Schadenersatzpflicht besteht nach dem Wortlaut des Art. 52 AHVG darin, dass der Arbeitgeber absichtlich oder gro b f 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w:t>
      </w:r>
    </w:p>
    <w:p>
      <w:r>
        <w:rPr>
          <w:b/>
        </w:rPr>
        <w:t>E. 5.1.2</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ZAK 1985 S. 51 E. 2a, S. 620 E. 3b; vgl. BGE 132 III 523 E. 4.6).</w:t>
      </w:r>
    </w:p>
    <w:p>
      <w:r>
        <w:rPr>
          <w:b/>
        </w:rPr>
        <w:t>E. 5.1.3</w:t>
      </w:r>
    </w:p>
    <w:p>
      <w:r>
        <w:t>Nicht jedes einem Unternehmen als solchem anzulastende Ver schulden muss auch ein solches seiner sämtlichen Organe sein. Vielmehr hat man abzuwägen, ob und inwieweit eine Handlung der Firma einem bestimmten Organ im Hin blick auf dessen rechtliche und faktische Stellung innerhalb des Unternehmens zuzurechnen ist. Ob ein Organ schuldhaft gehandelt hat, hängt demnach ent scheidend von der Verantwortung und den Kompetenzen ab, die ihm von der juristischen Person übertragen wurden (BGE 108 V 199 E. 3a; ZAK 1985 S. 620 E. 3b; vgl. BGE 132 III 523 E. 4.5). Gehören dem Verwaltungsrat mehrere Per sonen an, so ist für jede von ihnen einzeln zu prüfen, ob sie am Schaden der Ausgleichskasse ein Verschulden trifft. Obliegt die Ge schäftsführung einem Mit glied des Verwaltungsrats, so han deln weitere Mitglieder schuldhaft, wenn sie die nach den Umständen gebotene Aufsicht nicht ausüben. Setzt sich der Ver waltungsrat aus nur zwei Mitgliedern zusammen, so beurteilen sich insbesondere, wenn sie lediglich kollektiv unterschriftsberechtigt sind, die Anforderungen an die gegenseitige Kontrolle nach einem strengen Massstab (in BGE 119 V 86 nicht publizierte E. 2c des Urteils des Bundesge richts H 94/91 vom 4. März 1993, nicht veröffentlichte Urteile H 171/87 vom 7. Dezember 1987 und H 25/87 vom 4. August 1987).</w:t>
      </w:r>
    </w:p>
    <w:p>
      <w:r>
        <w:rPr>
          <w:b/>
        </w:rPr>
        <w:t>E. 5.2</w:t>
      </w:r>
    </w:p>
    <w:p>
      <w:r>
        <w:t>Der Beschwerdeführer brachte zu seiner Entlastung im Wesentlichen vor, die Verantwortung für die Administration und Geschäftsführung habe allein dem „ Aktionärsinhaber “ und Geschäftsführer D.___ oblegen. Dieser habe mit Generalvollmacht über die Buchführung, Lohnbuchhaltung, Zahlungswesen so wie Verfügungsgewalt über die Bankkonti gehandelt, habe alle AHV-Abrech nungen eingereicht und entsprechende Zahlungen geleistet. Er - der Beschwer deführer – selber habe keinen Zugang zu den Büroräumen gehabt und damit keine Möglichkeit, administrative Kontrollaufgaben zu erfüllen. Die Kontrolle über den Vollzug habe nicht gewährleistet werden können, da die Administra tion allein von D.___ geführt worden sei ( Urk. 2/1 S. 2).</w:t>
      </w:r>
    </w:p>
    <w:p>
      <w:r>
        <w:rPr>
          <w:b/>
        </w:rPr>
        <w:t>E. 5.3.1</w:t>
      </w:r>
    </w:p>
    <w:p>
      <w:r>
        <w:t>Der Beschwerdeführer war einziges und einzel zeichnungsberechtigte s Mitglied des Verwaltungsrats der Y.___</w:t>
      </w:r>
    </w:p>
    <w:p>
      <w:r>
        <w:t>AG, einem kleinen Unternehmen mit einfacher Verwaltungsstruktur , wenigen (unter 30) Angestellten und geringer Lohnsummer (unter Fr. 300‘000.--, Urk. 2/4/ 5/ 1-2). Bei derart leicht überschau baren Verhältnissen muss von jedem - namentlich dem einzigen - Mitglied des Verwaltungsrates einer Aktiengesellschaft verlangt werden, dass es den Über blick über alle wesentlichen Belange des Unternehmens hat.</w:t>
      </w:r>
    </w:p>
    <w:p>
      <w:r>
        <w:t>Bei einfachen und überschaubaren Verhältnissen werden praxisgemäss erhöhte Anforderungen an Kenntnis und Erledigung von Abrechnungs- und Zahlungs-verkehr mit der Ausgleichskasse gestellt. Gemäss Art. 716 Abs. 2 des Obligatio nenrechts (OR) führt der Verwaltungsrat die Geschäfte der Gesellschaft, soweit er die Geschäftsführung nicht übertragen hat. Art. 716a Abs. 1 OR enthält so dann einen Katalog unübertragbarer und unentziehbarer Aufgaben. So obliegt dem Verwaltungsrat insbesondere die Oberleitung der Gesellschaft und die Er teilung der nötigen Weisungen (Ziffer 1), die Ausgestaltung des Rechnungswe sens, der Finanzkontrolle sowie der Finanzplanung (Ziffer 3) und die Oberauf sicht über die mit der Geschäftsführung betrauten Personen, namentlich im Hinblick auf die Befolgung der Gesetze, Statuten, Reglemente und Weisungen (Ziffer 5). Der Verwaltungsrat einer Aktiengesellschaft hat die mit der Ge schäftsführung beauftragten Personen zu überwachen und sich regelmässig über den Geschäftsgang unterrichten zu lassen. Das Gesetz verbietet zwar nicht die Vornahme einer bestimmten Arbeits- und Kompetenzaufteilung, doch die Überwachungs- und Kontrollpflichten verbleiben auch dann beim (Gesamt- )</w:t>
      </w:r>
    </w:p>
    <w:p>
      <w:r>
        <w:t>Verwaltungsrat. Deshalb hat sich jedes Mitglied des Verwaltungsrats bezie hungsweise der einzige Verwaltungsrat periodisch über den Geschäftsgang und die wichtigsten Geschäfte, die nicht zu seinem primären Aufgabenbereich ge hören, zu orientieren, Rapporte zu verlangen, diese sorgfältig zu studieren und nötigenfalls ergänzende Auskünfte einzuholen, Irrtümer abzuklären und bei Unregelmässigkeiten einzugreifen (BGE 114 V 219 E. 4a).</w:t>
      </w:r>
    </w:p>
    <w:p>
      <w:r>
        <w:rPr>
          <w:b/>
        </w:rPr>
        <w:t>E. 5.3.2</w:t>
      </w:r>
    </w:p>
    <w:p>
      <w:r>
        <w:t>Angesichts dessen kann sich der Beschwerdeführer der Verantwortung nicht mit dem sinngemässen Argument entziehen, die Pflichterfüllung im Rahmen der Abrechnungen mit den Sozialversicherungen sei an den Geschäftsführer dele giert gewesen und er habe keinen Einblick in die Akten gehabt. Eine Delegation dieser Aufgabe ändert insbesondere nichts an den oben genannten gesetzlichen Überwachungs- und Kontrollpflichten eines Verwaltungsrats. Es wäre deshalb die Pflicht des Beschwerdeführers gewesen, effektiv zu kontrollieren, ob die Y.___</w:t>
      </w:r>
    </w:p>
    <w:p>
      <w:r>
        <w:t>AG die geschuldeten Sozialversicherungsbeiträge bezahlt hatte. Wer Einsitz in einem Verwaltungsrat einer Aktiengesellschaft hat, muss dafür sorgen, dass er seine gesetzlichen Pflichten wahrnehmen kann oder andernfalls demissionieren. Die Vorbringen des Beschwerdeführers gereichen ihm demzu folge nicht zur Entlastung, sondern begründen vielmehr sein Ve rschulden, zu mal er selber eingestand, die Kontrolle über den Vollzug habe nicht gewähr leistet werden können . Vor diesem Hintergrund ist er auch namentlich nicht zu hören, wenn er vorbringt, keinen Zugang zu den Geschäftsräumlichkeiten und damit keine Möglichkeit gehabt zu haben , administrative Kontrollaufgaben zu erfüllen . Bei solchen Verhältnissen ist es die Pflicht des (einzigen) Verwal tungsrates, die entsprechenden Unterlage n einzuverlangen und falls dies nicht zum Erfolg führt (wie vorliegend behauptet durch den Widerstand des einzigen Aktionärs und Geschäftsführers) umgehend zu d emissionieren.</w:t>
      </w:r>
    </w:p>
    <w:p>
      <w:r>
        <w:rPr>
          <w:b/>
        </w:rPr>
        <w:t>E. 6.1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 eignis allge mein als begünstigt erscheint (BGE 119 V 401 E. 4a mit Hinweisen; vgl. auch BGE 122 V 189 sowie 119 Ib 334 E. 3c).</w:t>
      </w:r>
    </w:p>
    <w:p>
      <w:r>
        <w:rPr>
          <w:b/>
        </w:rPr>
        <w:t>E. 6.2</w:t>
      </w:r>
    </w:p>
    <w:p>
      <w:r>
        <w:t>Unter den gegebenen Umständen ist das Verhalten beziehungsweise die Passivi tät des Beschwerdeführers ohne weiteres adäquat kausal für den eingetretenen Schaden. Es ist davon auszugehen, dass ein pflichtgemässes Verhalten den Schaden verhindert hätte.</w:t>
      </w:r>
    </w:p>
    <w:p>
      <w:r>
        <w:rPr>
          <w:b/>
        </w:rPr>
        <w:t>E. 7</w:t>
      </w:r>
    </w:p>
    <w:p>
      <w:r>
        <w:t>Nach dem Gesagten erweist sich der angefochtene Einspracheentscheid als rech tens, weshalb die Beschwerde abzuweisen ist.</w:t>
      </w:r>
    </w:p>
    <w:p>
      <w:r>
        <w:t>Das Gericht erkennt: 1.</w:t>
      </w:r>
    </w:p>
    <w:p>
      <w:r>
        <w:t>Die Beschwerde wird abgewiesen. 2.</w:t>
      </w:r>
    </w:p>
    <w:p>
      <w:r>
        <w:t>Das Verfahren ist kostenlos. 3.</w:t>
      </w:r>
    </w:p>
    <w:p>
      <w:r>
        <w:t>Zustellung gegen Empfangsschein an: - X.___ - Ausgleichskasse Schwyz - Bundesamt für Sozialversicherungen 4.</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