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AK.2015.00027 vom 19. Dezember 2016</w:t>
      </w:r>
    </w:p>
    <w:p>
      <w:r>
        <w:t>ZH Sozialversicherungsgericht, 2016-12-19, DE</w:t>
      </w:r>
    </w:p>
    <w:p>
      <w:r>
        <w:rPr>
          <w:b/>
        </w:rPr>
        <w:t xml:space="preserve">Quelle: </w:t>
      </w:r>
      <w:r>
        <w:t>https://mcp.opencaselaw.ch/entscheid/zh_sozialversicherungsgericht_AK.2015.00027</w:t>
      </w:r>
    </w:p>
    <w:p>
      <w:r>
        <w:t>FR: ZH_SOZIALVERSICHERUNGSGERICHT AK.2015.00027 du 19 décembre 2016</w:t>
      </w:r>
    </w:p>
    <w:p>
      <w:r>
        <w:t>IT: ZH_SOZIALVERSICHERUNGSGERICHT AK.2015.00027 del 19 dicembre 2016</w:t>
      </w:r>
    </w:p>
    <w:p>
      <w:pPr>
        <w:pStyle w:val="Heading2"/>
      </w:pPr>
      <w:r>
        <w:t>Erwägungen</w:t>
      </w:r>
    </w:p>
    <w:p>
      <w:r>
        <w:rPr>
          <w:b/>
        </w:rPr>
        <w:t>E. 1</w:t>
      </w:r>
    </w:p>
    <w:p>
      <w:r>
        <w:t>0. Januar 2008 Gesellschafter und Geschäftsführer der Y.___ GmbH (früher: Z.___ GmbH) mit Sitz in A.___ ( früher: B.___ ) . Diese war der Sozialversicherungsanstalt des Kantons Zürich, Ausgleichskasse, als beitragspflichtige Arbeitgeberin angeschlossen. Mit Urteil vom 4. September 2012 eröffnete der Konkursrichter des Bezirksgerichts C.___ über die Gesellschaft den Konkurs. Das Konkursverfahren wurde mit Entscheid des Konkursrichters vom 1 8. November 2014 mangels Aktiven eingestellt. Am 2 5. No vember 2014 wurde die Y.___ GmbH von Amtes wegen gelöscht ( Urk. 7/114).</w:t>
      </w:r>
    </w:p>
    <w:p>
      <w:r>
        <w:rPr>
          <w:b/>
        </w:rPr>
        <w:t>E. 1.1</w:t>
      </w:r>
    </w:p>
    <w:p>
      <w:r>
        <w:t>Nach Art. 52 Abs. 1 des Bundesgesetzes über die Alters- und Hinterlassenenver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 darisch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(Art.</w:t>
      </w:r>
    </w:p>
    <w:p>
      <w:r>
        <w:t>66 des Bundesgesetzes über die Invalidenvers icherung), Erwerbsersatz - ( Art. 21 Abs. 2 des Bundesgesetzes über den Erwerbsersatz für Dienstleistende und bei Mutterschaft) und Arbeitslosenversicherungsbeiträge ( Art.</w:t>
      </w:r>
    </w:p>
    <w:p>
      <w:r>
        <w:rPr>
          <w:b/>
        </w:rPr>
        <w:t>E. 2</w:t>
      </w:r>
    </w:p>
    <w:p>
      <w:r>
        <w:t>Gegen den Einspracheentscheid vom 7. Mai 2015 erhob X.___ am 2. Juni 2015 Beschwerde und beantragte, der angefochtene Entscheid sei aufzuheben und es sei auf die Schadenersatzforderung für entgangene Lohnbeiträge 2011 und 2012 zu verzichten; eventuell sei der Schadenersatz zu reduzieren ( Urk. 1 S. 1). Mit Beschwerdeantwort vom 1 0. Juli 2015 schloss die Ausgleichskasse auf Abweisung der Beschwerde ( Urk. 6), was dem Beschwerdeführer am 1 5. Juli 2015 zur Kenntnis gebracht wurde ( Urk. 8).</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w:t>
      </w:r>
    </w:p>
    <w:p>
      <w:r>
        <w:t>3bb; vgl. auch BGE 109 V 95 oben, 108 V 189 E. 5). Im Hinblick auf die in Art. 14 Abs. 1 AHVG normierte Beitrags- und Abrechnungspflicht des Arbeit gebers gehören auch die Arbeitge berbeiträge zum massgeblichen Schaden (BGE 98 V 26 E. 5).</w:t>
      </w:r>
    </w:p>
    <w:p>
      <w:r>
        <w:rPr>
          <w:b/>
        </w:rPr>
        <w:t>E. 2.2</w:t>
      </w:r>
    </w:p>
    <w:p>
      <w:r>
        <w:t>Der Schadene rsatzforderung liegen unbezahlt gebliebene Beiträge und Neben kosten für die Jahre 2009, 2011 und 2012 zugrunde. Sie wird vom Beschwer deführer in masslicher Hinsicht insoweit bestritten, als er angibt, er habe im 2009 alle Forderungen fristgerecht bezahlt ( Urk. 1 S. 2). Richtig ist, dass die Konkursitin die 2009 und 2010 in Rechnung gestellten, das Jahr 2009 betref fenden Sozialversicherungsbeiträge bezahlt hat. Im Rahmen der</w:t>
      </w:r>
    </w:p>
    <w:p>
      <w:r>
        <w:t>am 20 . Sep tember 2012 vor Ort durchgeführten Arbeitgeberkontrolle wurden jedoch für das Jahr 2009 zusätzlich Fr. 13‘024.00 an Lohnzahlungen entdeckt, hinsichtlich derer bislang noch nicht mit der Beschwerde gegnerin abgerechnet worden war . Dies e Nachtragsmeldung wurde mit dem Beschwerdeführer besprochen ( Urk. 7/82 und Urk. 7/84). Vor diesem Hintergrund forderte die Beschwerde gegnerin mit Rechnung vom 5.</w:t>
      </w:r>
    </w:p>
    <w:p>
      <w:r>
        <w:t>Oktober 2012 die auf dies em Betrag zu ent richtenden Lohnbeiträge samt Verwaltungskosten und Verzugszinsen zu Recht nach (Urk. 7/87). Da die Konkursitin die Bezahlung schuldig blieb, ist nicht zu beanstanden, dass auch dieser Betrag Bestandteil der Schadenssumme ist .</w:t>
      </w:r>
    </w:p>
    <w:p>
      <w:r>
        <w:rPr>
          <w:b/>
        </w:rPr>
        <w:t>E. 2.3</w:t>
      </w:r>
    </w:p>
    <w:p>
      <w:r>
        <w:t>Der Schaden s etzt sich gemäss der Beitragsübersicht vom 7. Juli 2015 und dem Kontoauszug desselben Datums ( Urk. 7/115-116) – wie schon erwähnt – aus unbezahlt gebliebenen Beiträgen für die Jahre 2009, 2011 und 2012 sowie Mahn- und Betreibungsgebühren, Verzugszinsen und Verwaltungskosten zusammen. Bei den Akten liegen entsprechende ( Akonto -) rechnungen (Urk. 7/68, 7/75, 7/78-79 und 7/87 ), mehrere Mahnungen ( Urk. 7/25, 7/39, 7/66-67 und 7/76), Betreibungen ( Urk. 7/69), Zahlungsbefehle, gegen welche die Firma keinen Rechtsvorschlag erhob ( Urk. 7/70-71) und diverse Verlustscheine ( Urk. 7/107). Aus diesen Unterlagen, dem Kontoauszug und der Beitragsüber sicht , der eine Gegenüberstellung der geschuldeten Sozialversicherungsbeiträge zuzüglich Nebenkosten von Fr. 249‘088.55 und der von der Y.___ GmbH geleisteten Zahlungen von Fr. 139‘016.30 zuzüglich der FAK-Zulagen in der Höhe von Fr. 72‘556.85 sowie der Gutschrift durch die CO 2 -Rückverteilung von Fr. 767.85 zugrunde liegt, ergibt sich ein Schadensbetrag von Fr. 36‘747.55.</w:t>
      </w:r>
    </w:p>
    <w:p>
      <w:r>
        <w:rPr>
          <w:b/>
        </w:rPr>
        <w:t>E. 2.4</w:t>
      </w:r>
    </w:p>
    <w:p>
      <w:r>
        <w:t>Die Beschwerdegegnerin reduzierte im angefochtenen Einspracheentscheid</w:t>
      </w:r>
    </w:p>
    <w:p>
      <w:r>
        <w:t>wie bereits ausgeführt die vom Beschwerdeführer geforderte Schadenersatzsumme von Fr. 36‘747.55 auf Fr. 25‘319.5 5. Dabei ging sie zutreffenderweise davon aus, dass die nach Konkurseröffnung in Rechnung gestellten respektive zu diesem Zeitpunkt noch nicht fälligen Forderungen – worunter sich im Übrigen auch diejenige über die nachgeforderten Lohnbeiträge 2009 befindet – nicht dem Beschwerdeführer angelastet werden können (Pos. 2012 0006, 2012 0007, 2012 0008 und 2012 0011).</w:t>
      </w:r>
    </w:p>
    <w:p>
      <w:r>
        <w:rPr>
          <w:b/>
        </w:rPr>
        <w:t>E. 2.5</w:t>
      </w:r>
    </w:p>
    <w:p>
      <w:r>
        <w:t>Das Quantitativ der streitgegenständlichen Forderung ist nach dem Gesagten durch die Akten ausgewiesen und wird vom Beschwerdeführer – bis auf die das Jahr 2009 betreffende, im vorliegenden Verfahren indes nicht zu beachtende Schadenssumme von Fr. 2‘ 016 . 5 0 – nicht in Zweifel gezogen. Mangels offen kundiger Anhaltspunkte für Berechnungsfehler ist die Schadensberechnung der Beschwerdegegnerin zu bestätigen und von einem vorliegend relevanten Schadensbetrag von Fr. 25‘319.55 auszugehen. 3.</w:t>
      </w:r>
    </w:p>
    <w:p>
      <w:r>
        <w:rPr>
          <w:b/>
        </w:rPr>
        <w:t>E. 3</w:t>
      </w:r>
    </w:p>
    <w:p>
      <w:r>
        <w:t>Auf die Ausführungen der Parteien und die eingereichten Unterlagen wird, soweit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rPr>
          <w:b/>
        </w:rPr>
        <w:t>E. 3.2</w:t>
      </w:r>
    </w:p>
    <w:p>
      <w:r>
        <w:t>Aus den Akten ist ersichtlich, dass die Y.___ GmbH den ihr als Arbeitgeberin obliegenden Zahlungsverpflichtungen nur unvollständig nachkam. Die Beschwerdegegnerin sah sich deshalb veranlasst, die Gesellschaft wiederholt zu mahnen und Schuldbetreibungsverfahren einzuleiten (E. 2.3 hievor ). Schliesslich blieben geschuldete Sozialversicherungsbeiträge (inklusive Nebenkosten) in der Höhe von Fr. 36‘747.55 unbezahlt, wovon in diesem Prozess – wie ausgeführt – Fr. 25‘319.55 relevant sind (vgl. E. 2.4 hievor ). Damit ist die Konkursitin ihren Pflichten als Arbeitgeberin selbstredend nicht nachgekommen und hat öffentlichrechtliche Vorschriften missachtet.</w:t>
      </w:r>
    </w:p>
    <w:p>
      <w:r>
        <w:t>Zu prüfen bleibt, ob und inwieweit der entstandene Schaden auf ein qualifiziert schuldhaftes Verhalten des Beschwerdeführers zurückzuführen ist. 4. 4.1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4.2</w:t>
      </w:r>
    </w:p>
    <w:p>
      <w:r>
        <w:t>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 4.2.2</w:t>
      </w:r>
    </w:p>
    <w:p>
      <w:r>
        <w:t>Nicht jedes einer Fir 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 stellung zu besorgen hat, in der Regel der Überblick über alle wesentlichen Belange der Firma verlangt werden, und dies selbst dann, wenn er seine Befug nisse weitgehend an einen Geschäftsführer delegiert hat. Er kann mit der Dele gation der Geschäftsführung nicht zugleich auch seine Verantwortung als einzi ges Verwaltungsorgan an den Ge schäftsführer delegieren (BGE 108 V 199 E. 3b). 4.2.3</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Aktiengesellschaft (BGE 126 V 237 ff.). 4.3 4.3.1</w:t>
      </w:r>
    </w:p>
    <w:p>
      <w:r>
        <w:t>Der Beschwerdeführer brachte zu seiner Entlastung vor, er habe bis zum letzten Tag beziehungsweise bis zur Konkurseröffnung versucht, die offenen Beträge zu bezahlen. Er habe Ratenzahlungen mit der Beschwerdegegnerin vereinbart und diese bis zum letzten Tag eingehalten. In der Reinigungsbranche sei eine exakte Einschätzung der auszuzahlenden Löhne sehr schwierig, weshalb er immer einen realistischen Durchschnitt gemeldet ha be . Eine korrekte Abrechnung sei immer erst mit dem Jahresabschluss möglich gewesen. Seit der Konkurser öffnung am 4. September 2012 habe er keine Möglichkeit mehr gehabt, auf den Geschäftsgang Einfluss zu nehmen. Er sei bis zum letzten Tag überzeug t gewe sen, mittels seines Liquiditätsplans und der eingelei teten Sanierungsmass nahmen die Firma retten zu können. Die meisten seiner Mitarbeiterinnen seien alleinstehend respektive alleinerziehend, weshalb er sich entschieden habe, diesen den vollen Lohn zu bezahlen, damit sie keine existenzielle Not erleiden würden. Die Firma habe bis zum Jahr 2012 alle Rechnung fristgerecht bezahlt. Er habe dafür sein ganzes Privatvermögen ver braucht ( Urk. 1). 4.3.2</w:t>
      </w:r>
    </w:p>
    <w:p>
      <w:r>
        <w:t>Vorweg ist festzuhalten, dass im vorliegenden Prozess nicht zu untersuchen ist, aus welchen Gründen es zum Konkurs der Y.___ GmbH gekommen ist. Z u entscheiden ist einzig , ob die Y.___ GmbH die ihr als Arbeitgeberin obliegenden Pflichten verletzt hat und ob gegebenenfalls ein qualifiziertes Verschulden des Beschwerdeführers zu bejahen ist. 4.3.3</w:t>
      </w:r>
    </w:p>
    <w:p>
      <w:r>
        <w:t>Der Beschwerdeführer war seit der Gründung und Eintragung der Y.___ GmbH ( respektive der Z.___ GmbH ) als deren Gesellschafter und Geschäftsführer mit Einzelzeichnungsberechtigung im Handelsregister eingetragen ( Urk. 7/114). Ihm kommt somit formelle Organeigenschaft zu.</w:t>
      </w:r>
    </w:p>
    <w:p>
      <w:r>
        <w:t>Die Y.___ GmbH</w:t>
      </w:r>
    </w:p>
    <w:p>
      <w:r>
        <w:t>war zwar nicht mehr ein eigentliches Kleinstunternehmen; trotzdem – auch mit Blick auf die ausgerichtete Lohnsumme – ein Unternehmen mit einfacher Verwaltungsstruktur. Die Verhältnisse, namentlich auch hinsichtlich der beitragsrechtlichen Situation, waren einfach und leicht überschaubar. Bei derartigen Verhältnissen muss von einem Geschäftsführer einer Gesellschaft mit beschränkter Haftung (GmbH) verlangt werden, dass er den Überblick über alle wesentlichen Belange des Unternehmens hat. In diesen Konstellationen werden praxisgemäss auch erhöhte Anforderungen an Kenntnis und Erledigung von Abrechnungs- und Zahlungsverkehr mit der Ausgleichs kasse gestellt. Denn gemäss Art. 812 Abs. 1 des Obligationenrechts (OR) sind die Geschäftsführer sowie Dritte, die mit der Geschäftsführung befasst sind, ver pflichtet, ihre Aufgabe mit aller Sorgfalt zu erfüllen und die Interessen der Gesellschaft in guten Treuen zu wahren. Art. 810 Abs. 2 OR enthält sodann einen – im Wesentlichem der aktienrechtlichen Bestimmung von Art. 716a Abs. 1 OR entsprechenden – Katalog unübertragbarer und unentziehbarer Auf gaben. So obliegt den Geschäftsführern insbesondere die Oberleitung der Gesellschaft und die Erteilung der nötigen Weisungen (Ziffer 1), die Ausge staltung des Rechnungswesens, der Finanzkon trolle sowie der Finanzplanung (Ziffer 3) und die Aufsicht über die Personen, denen Teile der Geschäftsführung übertragen sind, namentlich im Hinblick auf die Befolgung der Gesetze, Statuten, Reglemente und Weisungen (Ziffer 4). Das Gesetz verbietet zwar die Vornahme einer bestimmten Arbeits- und Kompetenzaufteilung nicht, doch die Überwa chungs - und Kontrollpflichten v erbleiben auch dann bei der (Gesamt)- Ge schäftsführung beziehungsweise bei sämtlichen Geschäftsführern. Deshalb hat sich jedes Mitglied einer GmbH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Die Rechtslage ist insoweit nicht anders als bei einer Aktiengesellschaft (vgl. hiezu BGE 114 V 219 E. 4a und E. 4.2.3 hievor ). Der Beschwerdeführer hätte daher insbesondere dafür besorgt sein müssen, dass von der Gesellschaft die gesetzlichen Vorschriften, wozu auch jene betreffend das Beitragswesen gehören , eingehalten werden. 4.3.4</w:t>
      </w:r>
    </w:p>
    <w:p>
      <w:r>
        <w:t>Werden bei ungenügender Liquidität die einen Forderungen bezahlt, andere aber nicht, ist dies grundsätzlich nicht grobfahrlässig. Nach der Rechtsprechung zu Art. 52 AHVG ist es allerdings – allenfalls abgesehen von kurzfristigen Aus ständen – grobfahrlässig, Löhne zu bezahlen, wenn die darauf geschuldeten AHV-Beiträge nicht gedeckt sind. Gegenteiliges Verhalten ist den verantwortli chen Organen grundsätzlich als qualifiziertes Verschulden zuzurechnen, was die volle Schadenersatzpflicht nach sich zieht, sofern die übrigen Haftungsvoraus setzungen ebenfalls erfüllt sind. Der Grund liegt in der besonderen Natur der AHV-Beträge, hinsichtlich welcher der Arbeitgeber die Funktion eines Vollzugs organs ausübt (Art. 51 AHVG). Daraus resultiert eine besondere Pflicht, für die ordnungsgemässe Bezahlung der Beiträge zu sorgen (Urteil des Bundesgerichts 9C_311/2015 vom 9. Juli 2015 E. 4.2.2).</w:t>
      </w:r>
    </w:p>
    <w:p>
      <w:r>
        <w:t>Falls daher die Liquiditätssituation die Begleichung der vollen Bruttolöhne zuzüglich des Beitragsanteils des Arbeitgebers nicht zulässt, sind die Lohnzahlungen praxisgemäss auf ein Mass zu reduzieren, welches die Entrichtung der darauf anfallenden Sozialversiche rungsbeiträge erlaubt (vgl. etwa bereits Urteil des damaligen Eidgenössischen Versicherungsgerichts H 69/05 vom 15. März 2006 E. 5.3.3 mit Hinweis ; ferner Bundesgerichtsurteil 9C_328/2012 vom 11. Dezember 2012 E.</w:t>
      </w:r>
    </w:p>
    <w:p>
      <w:r>
        <w:t>5.1 mit Hinweis auf Marco Reichmuth , Die Haftung des Arbeitgebers und seiner Organe nach Art. 52 AHVG, 2008, Rz 673 und 952 mit weiteren Hinweisen ). Dem ist der Beschwerdeführer nicht nachgekommen; vielmehr hat er den Lohnbe zügen – in den Jahren 2011 und 2012 i nsbesondere auch seinen eigenen ( Urk. 7/73 S. 2 und Urk. 7/83 S. 2) – Priorität vor der Beitragsentrichtung eingeräumt, welches Verhalten für ein weiteres Ansteigen der Beitragsausstände verantwortlich war. Dieses Handeln stellt eine Verletzung seiner öffentlichrechtlichen Pflichten als Geschäftsführer einer GmbH dar.</w:t>
      </w:r>
    </w:p>
    <w:p>
      <w:r>
        <w:t>Daran ändert nichts, dass die meisten Mitar beiterinnen der Y.___ GmbH alleinstehend respektive alleinerziehend und daher grundsätzlich in besonderem Masse auf eine rechtzeitige und ungekürzte Lohnzahlung angewiesen waren (vgl. Urk. 1 S. 1). 4.3.5</w:t>
      </w:r>
    </w:p>
    <w:p>
      <w:r>
        <w:t>Der Beschwerdeführer macht geltend, er habe nach der Konkurseröffnung kei nen Einfluss auf die Geschäftstätigkeit mehr nehmen können ( Urk. 1 S. 1) . Falls er sich damit in Bezug auf die am 1 7. August 2012 in Rechnung gestellten ( jedoch erst nach Konkurseröffnung zu bezahlenden ) Lohnbeiträge 2011 (Urk. 7/75) seiner Verantwortlichkeit gegenüber der Beschwerdegegnerin ent ziehen möchte, ist er darauf hinzuweisen, dass Sozialversicherungsbeiträge beziehungsweise Beitragsschulden auszugleichen waren, die zu einem Zeitpunkt entstanden sind , als der Beschwerdeführer (einziges) formelles Organ der Y.___ GmbH war . Weder Abrechnungspflicht, Beitragsschuld noch Fälligkeit sind von der Zustellung einer Rechnung , einer Veranlagungs- oder Nach zahlungsverfügung seitens der Ausgleichskasse abhängig. Die Abrechnungs pflicht sowie die Beitragsschuld entstehen im Zeitpunkt der Lohnzahlung ( Art. 14 und Art. 51 AHVG; Urteil des dam aligen Eidgenössischen Versiche rungsgerichts H 136/00 vom 2 9. Dezember 2000 E. 4b). Bei der nach diesem Zeitpunkt von der Y.___ GmbH erstatteten Nachtragsmeldu ng</w:t>
      </w:r>
    </w:p>
    <w:p>
      <w:r>
        <w:t>( Urk. 7/73) handelt es sich damit einzig um eine Korrektur der Lohnsumme in masslicher Hinsicht, die die Abrechnungspflicht nicht in Frage stell t . Entgegen den entsprechenden Ausführungen des Beschwerdeführers ( Urk. 1 S. 2) wäre es ihm – auch wenn die Mitarbeitenden im Stundenlohn angestellt waren und die Auftragslage von Monat zu Monat unterschiedlich war – möglich gewesen, nach Ablauf der Abrechnungsperiode die effektiv ausgerichtete Lohnsumme zu melden ( vgl. hiezu auch Art. 3</w:t>
      </w:r>
    </w:p>
    <w:p>
      <w:r>
        <w:rPr>
          <w:b/>
        </w:rPr>
        <w:t>E. 6</w:t>
      </w:r>
    </w:p>
    <w:p>
      <w:r>
        <w:t>Nach dem Dargelegten wurde der Beschwerdeführer zu Recht verpflichtet, für den eingetretenen Schaden im Umfang von Fr. 25‘319.55 Ersatz zu leisten. 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w:t>
      </w:r>
    </w:p>
    <w:p>
      <w:r>
        <w:t>Tagen seit der Zustellung beim Bundesgericht Beschwerde nach Art. 82 ff. in Verbindung mit Art. 90 ff. des Bundesgesetzes über das Bundesgericht (BGG) einge reicht werden, wenn sich eine Rechtsfrage von grundsätzlicher Bedeutung stellt ( Art. 85 Abs. 2 BGG), wobei in der Beschwerde auszuführen ist, warum diese Vor 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 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