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AK.2014.00033 vom 13. Dezember 2016</w:t>
      </w:r>
    </w:p>
    <w:p>
      <w:r>
        <w:t>ZH Sozialversicherungsgericht, 2016-12-13, DE</w:t>
      </w:r>
    </w:p>
    <w:p>
      <w:r>
        <w:rPr>
          <w:b/>
        </w:rPr>
        <w:t xml:space="preserve">Quelle: </w:t>
      </w:r>
      <w:r>
        <w:t>https://mcp.opencaselaw.ch/entscheid/zh_sozialversicherungsgericht_AK.2014.00033</w:t>
      </w:r>
    </w:p>
    <w:p>
      <w:r>
        <w:t>FR: ZH_SOZIALVERSICHERUNGSGERICHT AK.2014.00033 du 13 décembre 2016</w:t>
      </w:r>
    </w:p>
    <w:p>
      <w:r>
        <w:t>IT: ZH_SOZIALVERSICHERUNGSGERICHT AK.2014.00033 del 13 dicembre 2016</w:t>
      </w:r>
    </w:p>
    <w:p>
      <w:pPr>
        <w:pStyle w:val="Heading2"/>
      </w:pPr>
      <w:r>
        <w:t>Erwägungen</w:t>
      </w:r>
    </w:p>
    <w:p>
      <w:r>
        <w:rPr>
          <w:b/>
        </w:rPr>
        <w:t>E. 1</w:t>
      </w:r>
    </w:p>
    <w:p>
      <w:r>
        <w:t>Die Y.___ GmbH mit Sitz in Z.___ verfügte über eine Zweigniederlassung in A.___ ( Urk. 16/1-2). Diese war der Sozialversicherungsanstalt des Kantons Zürich, Ausgleichskasse, als Arbeitgeberin insoweit angeschlossen als sie mit ihr (ausschliesslich) die FAK-Beiträge ab rechnete (vgl. 18/1-2 ). Mit Entscheid vom 1 7. Dezember 2012 löste der Einzelrichter des Kantons gerichts</w:t>
      </w:r>
    </w:p>
    <w:p>
      <w:r>
        <w:t>B.___ die Y.___ GmbH wegen Fehlen s der vorgeschrieben en Organe gemäss Art. 731b des Obli gationenrechts auf und ordnete ihre Liquidation nach den Vorschriften über den Konkurs an ( Urk. 16/2) . Die Auflage des Kollokationsplanes erfolgte am 1 8. Januar 2013 ( Urk. 9/95/1). Am 2 8. Februar 2014 wurde das Konkursver fahren für geschlossen erklärt ( Urk. 16/2). Die Zweigniederlassung A.___ selber wurde in Anwendung von Art. 153b der Handelsregisterverordnung ( HRegV ) am 1 8. April 2013 im Handelsregister gelös ch t, nachdem dieses Domizil aufgegeben worden und die angesetzte Frist zu r Wiederherstellung des gesetz mässigen Zustands abgelaufen war ( Urk. 16/1).</w:t>
      </w:r>
    </w:p>
    <w:p>
      <w:r>
        <w:t>Mit Verfügung vom 1 5. September 2014 verpflichtete die Ausgleichskasse X.___ als früheren Leiter der Y.___ GmbH, Zweigniederlassung A.___ (vgl. dazu HR-Auszug, Urk. 16/1), zur Bezahlung von Schadenersatz für entgangene FAK-Beiträge der Y.___ GmbH, Zweigniederlassung A.___ , in der Höhe von Fr. 54‘581.40 ( Urk. 9/108). Die dagegen erhobene Einsprache (Urk.</w:t>
      </w:r>
    </w:p>
    <w:p>
      <w:r>
        <w:t>9/115) hiess die Ausgleichskasse mit Entscheid vom 2 0. Oktober 2014 teilweise gut und reduzierte die Schadenersatzforderung auf Fr. 38‘724.10 (Urk.</w:t>
      </w:r>
    </w:p>
    <w:p>
      <w:r>
        <w:t>2).</w:t>
      </w:r>
    </w:p>
    <w:p>
      <w:r>
        <w:rPr>
          <w:b/>
        </w:rPr>
        <w:t>E. 2</w:t>
      </w:r>
    </w:p>
    <w:p>
      <w:r>
        <w:t>, vgl. auch Urk. 9/112 ). Damit entfiel von v ornherein seine Haftung für nach diesem Zeit punkt fällig gewordene Schadenspositionen.</w:t>
      </w:r>
    </w:p>
    <w:p>
      <w:r>
        <w:rPr>
          <w:b/>
        </w:rPr>
        <w:t>E. 2.1</w:t>
      </w:r>
    </w:p>
    <w:p>
      <w:r>
        <w:t>Aus den Akten ergibt sich und ist unbestritten, dass die Y.___ GmbH, Zweigniederlassung A.___ , ihrer Beitragspflicht im Umfang von Fr. 54‘581.4 0 nicht nachgekommen ist ,</w:t>
      </w:r>
    </w:p>
    <w:p>
      <w:r>
        <w:t>wo bei es sich a usschliesslich um FAK-Beiträge handelt (vgl. Urk. 18/1-2).</w:t>
      </w:r>
    </w:p>
    <w:p>
      <w:r>
        <w:rPr>
          <w:b/>
        </w:rPr>
        <w:t>E. 2.2</w:t>
      </w:r>
    </w:p>
    <w:p>
      <w:r>
        <w:t>Die Ausgleichskasse hat im angefochtenen Einspracheentscheid die Schadener-satzforderung gegen den Beschwerdeführ er auf Fr. 38‘724.10 reduziert. Dabei berüc ksichtigte sie , dass der Beschwer deführer zwar bis 2. Oktober 2012 im Handelsregister als Leiter der Zweigniederlassung A.___ eingetragen war, aber ab 3 1. August 201</w:t>
      </w:r>
    </w:p>
    <w:p>
      <w:r>
        <w:rPr>
          <w:b/>
        </w:rPr>
        <w:t>E. 2.3</w:t>
      </w:r>
    </w:p>
    <w:p>
      <w:r>
        <w:t>Die Schadenersatzforderung wird vom Beschwer deführer in masslicher Hinsicht nicht bestritten . Er macht aber im Wesentlichen geltend, der Schadenersatzan spruch sei verjährt. Zudem habe er - entgegen der Annahme der Ausgleichs kasse - keine Organstellung inne gehabt ( Urk. 1 S. 4). Auf diese Punkte ist im Folgenden einzugehen.</w:t>
      </w:r>
    </w:p>
    <w:p>
      <w:r>
        <w:rPr>
          <w:b/>
        </w:rPr>
        <w:t>E. 3</w:t>
      </w:r>
    </w:p>
    <w:p>
      <w:r>
        <w:t>AHVG ausgelöst. Mit dem Erlass der Schadenersatzverfügung vom 1 5. September 2014 ( Urk. 9/108) wurde die genannte Frist gewahrt. Gleiches gälte im Übrigen, wenn man die Publikation der Löschung der Zweigniederlassung A.___ im Handelsregister vom 1 8. April 2013 ( Urk. 16/1) als massgebend erachten wollte (vgl. dazu Marco Reichmuth , Die Haftung des Arbeitgebers und seiner Organe nach</w:t>
      </w:r>
    </w:p>
    <w:p>
      <w:r>
        <w:t>Art. 52 AHVG, 2008, S. 205). Die streitgegenständ liche Forderung ist demnach nicht verjährt. Soweit der Beschwerdeführer argumentiert, die Forderung sei verjährt, weil die Beschwerdegegnerin die Rechnung [in der Höhe von Fr. 38‘704.10 ( Urk. 8/40/2)] am 7. Mai 2012 gestellt, die Verfügung indessen erst am 1 5. September 2014 erlassen habe ( Urk. 1/1 S. 4) , verkennt er, dass zwischen der Geltendmachung des Schadenersatzes und der Geltendmachung der Beitragsforderung, worauf sich die erwähnte Rechnungsstellung bezieht, zu unterscheiden ist (BGE 121 III 385). Es handelt sich um zwei verschiedene Rechtsansprüche. Die Verjährung der Schadenersatzforderung richtet sich nach den oben ausgeführten Grundsätzen und ist, wie erwähnt, vorliegend nicht eingetreten.</w:t>
      </w:r>
    </w:p>
    <w:p>
      <w:r>
        <w:rPr>
          <w:b/>
        </w:rPr>
        <w:t>E. 4.1</w:t>
      </w:r>
    </w:p>
    <w:p>
      <w:r>
        <w:t>Die Ausgleichskasse geht davon aus, dass ein Leitungsorgan einer Zweignieder lassung als formelles Organ im Sinne von Art 52 AHVG gilt ( Urk. 2 S. 2, Urk. 8).</w:t>
      </w:r>
    </w:p>
    <w:p>
      <w:r>
        <w:t>Der Beschwerdeführer wendet dagegen ein, dass diese Annahme weder im Gesetz noch in der Rechtsprechung eine Grundlage finde. Im Übrigen sei er zwar Leiter der Zweigniederlassung A.___ gewesen, jedoch nie deren Geschäftsführer. Seine Pflichten hätten hauptsächlich den alltäglichen Geschäftsablauf betroffen. Die Zahlungen, insbesondere der Löhne und der Sozialversicherungsbeiträge, sei en ausschliesslich durch die Muttergesellschaft in C.___ , der D.___ SA, erfolgt ( Urk. 1 S. 4).</w:t>
      </w:r>
    </w:p>
    <w:p>
      <w:r>
        <w:rPr>
          <w:b/>
        </w:rPr>
        <w:t>E. 4.2</w:t>
      </w:r>
    </w:p>
    <w:p>
      <w:r>
        <w:t>Als formelles Organ einer GmbH gelten Personen , die ausdrücklich als Geschäftsführer ernannt worden sind ( Art. 809 ff. des Obligationenrechts [OR], BGE 126 V 237 E. 4). Darüber hinaus behandelt die Rechtsprechung Leitungsor gane einer Zweigniederlassung einer Gesellschaft mit Sitz im Ausland als solche ( vgl. Urteil des Eidgenössischen Versicherungsgerichts H 37/02 vom 3. Sep tember 2003; Marco Reichmuth , Die Haftung des Arbeitgebers und seiner Organe nach Art. 52 AHVG, 2008, S. 50 Rz 205 ) . Vorliegend handelt es sich jedoch um die Zweigniederlassung einer Gesellschaft mit Sitz in der Schweiz ( Urk. 16/1) . Dies scheint die Beschwerdegegnerin zu verkennen.</w:t>
      </w:r>
    </w:p>
    <w:p>
      <w:r>
        <w:t>Als mit der Geschäftsführung befasst gelten indessen nicht nur Personen, die ausdrücklich als Geschäftsführer ernannt word en sind (sog. formelle Organe);</w:t>
      </w:r>
    </w:p>
    <w:p>
      <w:r>
        <w:t>dazu gehören auch Personen, die faktisch die Funktion eines Geschäftsführers ausüben, indem sie etwa diesem vorbehal tene Entscheide treffen oder d ie eigentliche Geschäftsfüh rung besorgen und so die Willensbildung der Gesell schaft massgebend beeinflussen (materielle oder faktische Organe;</w:t>
      </w:r>
    </w:p>
    <w:p>
      <w:r>
        <w:t>BGE 117 II 441 E. 2, 571 E . 3, 114 V 78, 213). Darunter</w:t>
      </w:r>
    </w:p>
    <w:p>
      <w:r>
        <w:t>fallen typischerweise Personen, die kraft ihrer Stellung</w:t>
      </w:r>
    </w:p>
    <w:p>
      <w:r>
        <w:t>(z.B. Mehrheitsgesellsch after) dem formell eingesetzten Geschäftsführer Weis ungen über die Geschäftsführung erteilen (BGE 126 V 237 E. 4).</w:t>
      </w:r>
    </w:p>
    <w:p>
      <w:r>
        <w:t>Massgebend für die Beurteilung der Organstellung von Personen, die nicht aus drücklich zum Geschäftsführer ernannt worden sind, ist also, ob sie tatsächlich die Funktion von Organen erfüllen, indem sie den Organen vorbehaltene Ent scheide treffen oder die eigentliche Geschäftsführung mitbestimmen . Nicht ent scheidend ist hingegen der Handelsregistereintrag oder die Unterschriftsberech tigung (vgl. BGE 114 V 213 E. 4e). Gleich verhält es sich in Bezug a uf den Titel eines „Leiters einer Zweigniederlassung “ . Dieser steht im Alltagsleben zwar für eine mit Kompetenzen verbundene hierarchische Stellung und nicht für einen subalternen Angestellten ohne jegliche Befugnisse . Daraus lassen sich indessen keine für die Haftungsfrage relevante n Schlüsse ziehen. Dasselbe gilt auch bei einer Zuständigkeit der fraglichen Person für das Abrechnungswesen. Dekla rieren der Löhne zuhanden der Ausgleichskasse, Unterzeichnen der Lohnmel dungen , Entgegennehmen der Rechnungen und Mahnungen sowie regelmässi ger Kontakt mit der Buchhaltungs- und Revisionsstelle stellen für sich allein betrachtet keine organspezifis che n Tätigkeiten dar (Bundesgerichtsurteil 9C_920/2014 vom 1 9. Mai 2015 E. 3.2.3).</w:t>
      </w:r>
    </w:p>
    <w:p>
      <w:r>
        <w:rPr>
          <w:b/>
        </w:rPr>
        <w:t>E. 4.3</w:t>
      </w:r>
    </w:p>
    <w:p>
      <w:r>
        <w:t>Obwohl der Beschwerdeführer laut Handelsregistereintrag einzelunterschrifts berechtigt war ( Urk. 16/1), verfügte er über keine Verfügungsberechtigung über die Konten der Gesells chaft . Die Löhne wurden, wie sich aus den Akten ergibt, direkt durch die Muttergesellschaft mit Sitz in C.___ , der D.___ SA, ausbezahlt ( Urk. 3/4, 3/6 , 3/7 ). Zwar erstellte der Beschwerdeführer die Jahresabrechnungen zu Handen der Ausgleichskasse ( vgl. etwa Urk. 9/23, 9/30 ). Dabei handelte es sich aber um administrative Arbeiten. Seine Aussage, dass er im Wesentlichen bloss bu chhalterische Aufgaben erledigt habe , aber nie Geschäftsführer der Zweigniederlassung gewesen sei, wird von seine n ehemali gen Vorgesetzten sowie ehemalige n Mitarbeiter n bestätigt ( Urk. 3/2 , 3/4, 3/5). Dafür spricht auch der Umstand, dass der Beschwerdeführer vergleichsweise schlecht entlöhnt worden war (vgl. Urk. 9/23/5, 9/30/2 ). Demgegenüber sind keine konkrete n Tatsachen dargetan, die die Annahme einer (faktischen) Organ stellung des Beschwerdeführer s im Sinne de r bundesgerichtlichen Recht sprechung zu rechtfertigen vermöchten. Die Folgen dieser Beweislosigkeit hat die Ausgleichskasse zu tragen (BGE 111 V 201 E. 6). Ist die Organstellung zu verneinen, kann der Beschwerdeführer nicht nach Art. 52 AHVG belangt wer den.</w:t>
      </w:r>
    </w:p>
    <w:p>
      <w:r>
        <w:t>Anzumerken bleibt, dass die Y.___ GmbH, Zweigniederlassung A.___ , - wie auch der (Haupt-)Sitz in Z.___ - zwar faktisch durch die D.___ SA beherrscht wurde. Dies ändert aber nichts daran, dass die Y.___ GmbH ihren (Haupt-) Sitz in der Schweiz hatte (siehe Auszug aus dem Handelsregister des Kantons B.___ ; Urk. 3/3) und deren Geschäftsführer (siehe wiederum Urk. 3/3) aufgrund ihrer Stellung als formelle Organe berechtigt und nötigenfalls verpflichtet waren, die in Rechnung gestellten Sozialversicherungsbeiträge zu bezahlen oder deren Bezahlung zu veranlassen. Dies gilt selbstredend auch für die FAK-Beiträge, und zwar auch für diejenige der Zweigniederlassung A.___ (vgl. Urteil des Eidgenössischen Versicherungsgerichts H 339/00 vom 9. Mai 2001). Im konkreten Fall wurde denn auch ein Organ der Y.___ GmbH für entgangene ( paritätische ) Sozialversicherungsb eiträge zunächst ins Recht gefa sst .</w:t>
      </w:r>
    </w:p>
    <w:p>
      <w:r>
        <w:t>V on einer Verpflichtung zu Schadenersatz wurde dann aber aufgrund persönlicher Umstände abgesehen (vgl. Urk. 19).</w:t>
      </w:r>
    </w:p>
    <w:p>
      <w:r>
        <w:t>Dies führt zur Gutheissung der Beschwerde.</w:t>
      </w:r>
    </w:p>
    <w:p>
      <w:r>
        <w:rPr>
          <w:b/>
        </w:rPr>
        <w:t>E. 5</w:t>
      </w:r>
    </w:p>
    <w:p>
      <w:r>
        <w:t>.</w:t>
      </w:r>
    </w:p>
    <w:p>
      <w:r>
        <w:t>Da der Streitwert Fr. 30'000.-- übersteigt, kann gegen diesen Entscheid innert 30</w:t>
      </w:r>
    </w:p>
    <w:p>
      <w:r>
        <w:t>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