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AK.2013.00040 vom 22. Dezember 2014</w:t>
      </w:r>
    </w:p>
    <w:p>
      <w:r>
        <w:t>ZH Sozialversicherungsgericht, 2014-12-22, DE</w:t>
      </w:r>
    </w:p>
    <w:p>
      <w:r>
        <w:rPr>
          <w:b/>
        </w:rPr>
        <w:t xml:space="preserve">Quelle: </w:t>
      </w:r>
      <w:r>
        <w:t>https://mcp.opencaselaw.ch/entscheid/zh_sozialversicherungsgericht_AK.2013.00040</w:t>
      </w:r>
    </w:p>
    <w:p>
      <w:r>
        <w:t>FR: ZH_SOZIALVERSICHERUNGSGERICHT AK.2013.00040 du 22 décembre 2014</w:t>
      </w:r>
    </w:p>
    <w:p>
      <w:r>
        <w:t>IT: ZH_SOZIALVERSICHERUNGSGERICHT AK.2013.00040 del 22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Z.___ war ab 5. August 2008 (Tagebucheintrag) als Mitglied und ab 1. September 2010 als Präsident des Verwaltungsrates der A.___ (vormals: B.___ ) im Handelsregister des Kantons Zürich eingetragen.</w:t>
      </w:r>
    </w:p>
    <w:p>
      <w:r>
        <w:t>X.___ war ab 1. September 2010 M itglied und ab 1 7. Mai 2011 Präsident des Ver waltungs rates dieser Gesellschaft . Am 1 8. März 2011 wurde der Eintrag von Z.___ gelöscht. Am selben Tag wurde Y.___ als Mitglied des Ver waltungsrat s im Handels register ein getragen ( Urk. 5/64 , Internet-Auszug Handelsregister des Kantons Zürich und Publika tio nen im Schweizerischen Handelsamtsblatt [SHAB] ). Die A.___ war der Sozial versicherungsanstalt des Kantons Zürich, Aus gleichskasse , als bei tragspflichtige Arbeitgeberin angeschlossen. Der Konkurs richter des Bezirks gerichts C.___ eröffnete mit Urteil vom 2 5. Januar 2012</w:t>
      </w:r>
    </w:p>
    <w:p>
      <w:r>
        <w:t>den Konkurs über die Gesellschaft ( Urk. 5/23). Mit Urteil des Konkursrichters vom 28.</w:t>
      </w:r>
    </w:p>
    <w:p>
      <w:r>
        <w:t>März 2012 wurde das Konkursverfahren mangels Aktiven eingestellt (Urk .</w:t>
      </w:r>
    </w:p>
    <w:p>
      <w:r>
        <w:t>5/28).</w:t>
      </w:r>
    </w:p>
    <w:p>
      <w:r>
        <w:t>Die Ausgleichskasse forderte mit Verfügung vom 2 9. April 2012 von Z.___ ,</w:t>
      </w:r>
    </w:p>
    <w:p>
      <w:r>
        <w:t>Y.___ und X.___ in solidarischer Haftung Schadenersatz für ihr entgangene Lohnbeiträge sowie Verwaltungskosten, Ver zugs zinsen und Gebühren im Betrag von total Fr. 20‘378.80 ( Urk. 5/36-38). Gegen die sie betreffenden Schadenersatzverfügungen erhoben</w:t>
      </w:r>
    </w:p>
    <w:p>
      <w:r>
        <w:t>Z.___ ,</w:t>
      </w:r>
    </w:p>
    <w:p>
      <w:r>
        <w:t>Y.___ und X.___ am 9. ,</w:t>
      </w:r>
    </w:p>
    <w:p>
      <w:r>
        <w:rPr>
          <w:b/>
        </w:rPr>
        <w:t>E. 2</w:t>
      </w:r>
    </w:p>
    <w:p>
      <w:r>
        <w:t>7. August 2013 Beschwerde (Überweisung durch die Ausgleichskasse; dort eingegangen am</w:t>
      </w:r>
    </w:p>
    <w:p>
      <w:r>
        <w:rPr>
          <w:b/>
        </w:rPr>
        <w:t>E. 3</w:t>
      </w:r>
    </w:p>
    <w:p>
      <w:r>
        <w:t>[ Urk. 5/57, Urk. 5/63, Beilagenver zeichnis zu Urk. 5/1-66] ) und beantragten die Aufhebung der angefochtenen Einspracheentscheide ( Urk. 1). Die Beschwerde gegnerin be antragte mit Beschwerdeantwort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