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AK.2013.00024 vom 26. Juni 2014</w:t>
      </w:r>
    </w:p>
    <w:p>
      <w:r>
        <w:t>ZH Sozialversicherungsgericht, 2014-06-26, DE</w:t>
      </w:r>
    </w:p>
    <w:p>
      <w:r>
        <w:rPr>
          <w:b/>
        </w:rPr>
        <w:t xml:space="preserve">Quelle: </w:t>
      </w:r>
      <w:r>
        <w:t>https://mcp.opencaselaw.ch/entscheid/zh_sozialversicherungsgericht_AK.2013.00024</w:t>
      </w:r>
    </w:p>
    <w:p>
      <w:r>
        <w:t>FR: ZH_SOZIALVERSICHERUNGSGERICHT AK.2013.00024 du 26 juin 2014</w:t>
      </w:r>
    </w:p>
    <w:p>
      <w:r>
        <w:t>IT: ZH_SOZIALVERSICHERUNGSGERICHT AK.2013.00024 del 26 giugno 2014</w:t>
      </w:r>
    </w:p>
    <w:p>
      <w:pPr>
        <w:pStyle w:val="Heading2"/>
      </w:pPr>
      <w:r>
        <w:t>Erwägungen</w:t>
      </w:r>
    </w:p>
    <w:p>
      <w:r>
        <w:rPr>
          <w:b/>
        </w:rPr>
        <w:t>E. 1</w:t>
      </w:r>
    </w:p>
    <w:p>
      <w:r>
        <w:t>Die Y.___ mit Sitz in Z.___ war der Sozialversicherungs anstalt des Kantons Zürich als beitragspflichtige Arbeitgeberin angeschlossen und rechnete mit ihr die paritätischen und FAK-Beiträge ab (Urk. 8/462). Mit Verfügung vom 9. Dezember 2010 löste der Einzelrichter des Bezirksgerichts Zürich die Gesellschaft auf und ordnete ihre Liquidation nach den Vorschriften über den Konkurs gemäss Art. 819 des Obligationenrechts (OR) in Verbindung mit Art. 731b Abs. 1 Ziff. 3 OR an (Urk. 16).</w:t>
      </w:r>
    </w:p>
    <w:p>
      <w:r>
        <w:t>Am 17. März 2011 meldete die Ausgleichskasse im Konkursverfahren der Y.___ eine Forderung für geschuldete Beiträge an die AHV/IV/EO, FAK und ALV in der Höhe von Fr. 369'948.15 zur Kollokation an (Urk. 8/394). Mit Schreiben vom 4. April 2011 (Urk. 8/402) teilte das Kon kursamt Unterstrass-Zürich der Ausgleichskasse mit, dass sie vermutlich voll zu Schaden kommen werde. Am 25. Mai 2011 wurden das Konku r sverfahren ge schlossen und die Gesellschaft von Amtes wegen gelöscht (Urk. 16).</w:t>
      </w:r>
    </w:p>
    <w:p>
      <w:r>
        <w:t>Mit Verfügung vom 17. Februar 2012 (Urk. 8/443) verpflichtete die Ausgleichs kasse X.___ , ehemals Geschäftsführerin und Direktorin der Kon kursitin, zur Zahlung von Schadenersatz in der Höhe von Fr. 369'948.15 (als Einzelhafterin). Die dagegen mit Eingabe vom 23. März 2012 (Urk. 8/449) erho be ne Einsprache hiess die Ausglei chskasse mit Entscheid vom 28. März 2013 (Urk. 2 = Urk. 8/461) teilweise gut und reduzierte die geforderte Schadener satzsumme auf Fr. 308'180.55.</w:t>
      </w:r>
    </w:p>
    <w:p>
      <w:r>
        <w:rPr>
          <w:b/>
        </w:rPr>
        <w:t>E. 1.1</w:t>
      </w:r>
    </w:p>
    <w:p>
      <w:r>
        <w:t>Nach Art. 52 Abs. 1 des Bundesgesetzes über die Alters- und Hinterlassenenversi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(Art. 66 des Bundesgesetzes über die Invalidenvers icherung), Erwerbsersatz - (Art. 21 Abs.</w:t>
      </w:r>
    </w:p>
    <w:p>
      <w:r>
        <w:rPr>
          <w:b/>
        </w:rPr>
        <w:t>E. 1.2.1</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w:t>
      </w:r>
    </w:p>
    <w:p>
      <w:r>
        <w:rPr>
          <w:b/>
        </w:rPr>
        <w:t>E. 1.2.3</w:t>
      </w:r>
    </w:p>
    <w:p>
      <w:r>
        <w:t>Im Konkursverfahren der Y.___ lagen das Inventar und der Kollokationsplan vom 1. bis zum 11. beziehungsweise 21. April 2011 zur Einsicht auf (vgl. Urk. 8/407 S. 1). Am 4. April 2011 teilte das Konkursamt Un terstrass-Zürich - wie bereits erwähnt - der Beschwerdegegnerin mit, dass sie vermutlich voll zu Schaden kommen werde (Urk. 8/403). Damit wurde die zweijährige Verjährungsfrist von Art. 52 Abs.</w:t>
      </w:r>
    </w:p>
    <w:p>
      <w:r>
        <w:rPr>
          <w:b/>
        </w:rPr>
        <w:t>E. 2</w:t>
      </w:r>
    </w:p>
    <w:p>
      <w:r>
        <w:t>des Gesetzes über Kinderzulagen für Arbeitnehmer in der bis Ende 2007 gültig gewesenen Fassung bzw. § 33 des ab 1. Januar 2008 bis 30. Juni 2009 gültig gewesenen Kinderzulagengesetzes; nicht publiziertes Urteil des Bundesgerichts 2P.251/19 96 vom 30. Juni 1997).</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2.2.1</w:t>
      </w:r>
    </w:p>
    <w:p>
      <w:r>
        <w:t>Die Beschwerdegegnerin stützte ihre Forderung gegen die Beschwerdeführerin im Wesentlichen auf die Jahresabrechnungen der Y.___ für die Jahre 2007 bis 2009 (Urk. 8/135, 8/248 und 8/318) und d ie Berichte des Revisors vom 4. November 2008 (Urk. 8/216) und 4. März 2011 ( Urk. 8/380). Des Weiteren liegen der Kontoauszug vom 18. November 2011 (Urk. 3/3), zahl reiche</w:t>
      </w:r>
    </w:p>
    <w:p>
      <w:r>
        <w:t>Mahnungen (vgl. etwa Urk. 8/157, 8/166-167, 8/169, 8/172-173,</w:t>
      </w:r>
    </w:p>
    <w:p>
      <w:r>
        <w:t>8/217-218, 8/246, 8/249-251, 8/261-264, 8/267, 8/273 und 8/294), Betreibungsbe gehren (vgl. etwa Urk. 8/245, 8/260, 8/266 und 8/293), Zahlungsbefehle (vgl. etwa Urk. 8/252, 8/269 und 8/275-277) und Verzugszinsabrechnungen (vgl. etwa Urk. 8/151-152, 8/222 und 8/226) bei den Akten (vgl. dazu auch die ent sprechenden Buchungen in Urk. 3/3).</w:t>
      </w:r>
    </w:p>
    <w:p>
      <w:r>
        <w:t>Aus den Jahresabrechnungen 2007 (Urk. 8/135/1-3 und 8/135/4), 2008 (Urk. 8/248) und 2009 (Urk. 8/318) sowie den Revisionsberichten vom 4. November 2008 (Urk. 8/216) und 4. März 2011 (Urk. 8/380) geht hervor, dass die Y.___ in den Jahren 2007 bis 2009 (bis Ende Septem ber 2009) Lohnzahlungen von insgesamt Fr. 8‘731‘822.30 (= Fr. 4‘235‘173. + Fr. 447‘725. 1 Fr. 170‘984. + Fr. 2‘919‘176.35 + Fr. 7‘880. + Fr. 950‘883.95) ausgerichtet hat.</w:t>
      </w:r>
    </w:p>
    <w:p>
      <w:r>
        <w:rPr>
          <w:b/>
        </w:rPr>
        <w:t>E. 2.2.2</w:t>
      </w:r>
    </w:p>
    <w:p>
      <w:r>
        <w:t>Der von der Beschwerdegegnerin zunächst verfügungsweise geltend gemachte Ausstand von insgesamt Fr. 369‘948.15 resultiert aus der Gegenüberstellung der gemäss Kontoauszug und Beitragsübersicht geschuldeten Sozialversicherungs beiträge zuzüglich Nebenkosten und der von der Y.___ geleisteten Zahlungen (vgl. Urk. 3/3).</w:t>
      </w:r>
    </w:p>
    <w:p>
      <w:r>
        <w:t>Im angefochtenen Einspracheentscheid reduzierte die Beschwerdegegnerin diese Forderungssumme auf Fr. 308‘180.55. Sie berücksichtigte dabei, dass die Be schwerdeführerin bereits mit Schreiben der Y.___ vom 17. Juni 2009 (Urk. 8/454) als Direktorin per Ende August 2009 gekündigt und sofort freigestellt worden war (Löschung im Handelsregister am 19. Oktober 2010 [ Urk. 16 ] ) und es ihr ab diesem Zeitpunkt (zumindest faktisch) nicht mehr möglich war, für die Gesellschaft zu handeln ; für die danach angefallenen Bei trags ausstände kommt eine Haftung der Beschwerdeführer in grundsätzlich nicht in Frage. Die Beschwerdegegnerin legte im Einspracheentscheid vom 28. März 2013 im Einzelnen dar , um welche Positionen , für die eine Haftung der Be schwerdeführerin von vornherein</w:t>
      </w:r>
    </w:p>
    <w:p>
      <w:r>
        <w:t>ausgeschlossen ist, es sich dabei handelte (vgl. Urk. 2 S. 3 sowie die entsprechenden Korrekturen im Kontoauszug [Urk. 3/3] ).</w:t>
      </w:r>
    </w:p>
    <w:p>
      <w:r>
        <w:rPr>
          <w:b/>
        </w:rPr>
        <w:t>E. 2.3</w:t>
      </w:r>
    </w:p>
    <w:p>
      <w:r>
        <w:t>Die Beschwerdeführerin liess die Schadensberechnung der Beschwerdegegnerin in masslicher Hinsicht in diversen Punkten kritisieren. Diese n Einwendungen trat die Beschwerdegegnerin weder im angefochtenen Einspracheentscheid noch im vorliegenden Prozess, in dem sie in masslicher Hinsicht auf den Einsprache entscheid verwies, umfassend entgegen .</w:t>
      </w:r>
    </w:p>
    <w:p>
      <w:r>
        <w:t>Die Beschwerdeführerin liess insoweit namentlich ausführen, dass diverse Gut schriften für die Y.___ , die mit Schreiben vom 10. Februar 2012 (Urk. 8/432-442) angekündigt worden waren, im Kontoaus zug, welcher der streitgegenständlichen Forderung zugrunde liegt (Urk. 3/3), nicht verbucht wurden. Bei den genannten Gutschriften handelt es sich um er hebliche Beträge, nämlich - unter anderem - Fr. 35‘182.75 (Urk. 8/432), Fr. 34‘767.70 (Urk. 8/434), Fr. 21‘450.80 (Urk. 8/435), Fr. 46‘316.05 (Urk. 8/436), Fr. 22‘247.40 (Urk. 8/437) und Fr. 196‘966.30 (Urk. 8/442). Der Hintergrund und die Tragweite diese r (angeblichen) Gutschriften sind unklar; die Beschwerdegegnerin äusserte sich hierzu nicht. Klar ist aber auch, dass diese Gutschriften (als verbucht am 10. Februar 2012 angezeigt) nicht in den Konto auszug vom 18. November 2011 (Urk. 3/3), der die Grundlage der Schadensbe rechnung der Beschwerdegegnerin darstellt, Eingang fanden beziehungsweise - aus Gründen der zeitlichen Abfolge - finden konnten. Die in Urk. 3/3 hand schriftlich gemachten Korrekturen berücksichtigen lediglich das frühere Aus scheiden der Beschwerdeführerin aus der Y.___ , einen Zusammenhang mit der fraglichen Verbuchung von Gutschriften (und entspre chendem etwaigem Ausgleich der Rechnungen) haben sie jedoch nicht.</w:t>
      </w:r>
    </w:p>
    <w:p>
      <w:r>
        <w:t>Der Ansicht der Beschwerdegegnerin, dass der von ihr geltend gemachte Schaden ersatzbetrag von Fr. 308‘180. durch ihre Vorbringen und die A kten substanz iiert und belegt sei, kann nicht gefolgt werden. Entweder sind nämlich die bei den Akten liegenden Gutschriftsanzeigen vom 10. Februar 2012 (Urk. 8/432-442) unkorrekt oder der Kontoauszug vom 18. November 2011 (Urk. 3/3 inklusive handschriftliche Korrekturen) ist unvollständig und somit der ausgewiesene Saldo unzutreffend . Insoweit ist jedenfalls in den Akten ein nicht zu erklärender Widerspruch vorhanden .</w:t>
      </w:r>
    </w:p>
    <w:p>
      <w:r>
        <w:rPr>
          <w:b/>
        </w:rPr>
        <w:t>E. 2.4</w:t>
      </w:r>
    </w:p>
    <w:p>
      <w:r>
        <w:t>Das damalige Eidgenössische Versicherungsgericht hielt in seinem Urteil H 301/00 vom 13. Februar 2002 zur Pflicht der Ausgleichskassen, die Schaden ersatzforderung im Prozess zu substanziieren, Folgendes fest (E. 2c, vgl. auch das gleichentags ergangene Urteil H 438/00 sowie das Urteil des Bundesgerichts 9C_901/2008 vom 8. Juli 2009 E. 4.1): „Der Schadenersatzprozess gemäss Art. 81 AHVV ist vom Untersu chungsgrundsatz beherrscht (Art. 81 Abs. 3 AHVV in Verbindung mit Art. 85 Abs. 2 lit. c AHVG), welcher besagt, dass der Richter von Amtes wegen für die richtige und vollständige Abklärung des rechtserheblichen Sachverhaltes zu sorgen hat (vgl. BGE 108 V 197 Erw. 5). Der Untersuchungsgrundsatz gilt aber nicht uneinge schränkt, sondern wird durch die verschiedenen Mitwirkungs pflichten der Parteien ergänzt (BGE 122 V 158 Erw. 1a mit Hin weisen). Dazu gehört auch die Substanziierungspflicht, welche be sagt, dass die wesentlichen Tatsachenbehauptungen und bestreitungen in den Rechtsschriften enthalten sein müssen (Gygi, Bundesverwaltungsrechtspflege, 2. Aufl., Bern 1983, S. 208). Für die Ausgleichskasse bedeutet dies, die Schadenersatzforderung soweit zu substanziieren, dass sie überprüft werden kann. Dabei sind zwei Aspekte zu unterscheiden. Einerseits hat die Ausgleichs kasse den eingeklagten Forderungsbetrag zeitlich und masslich zu spezifizieren, also gestützt auf eine Beitragsübersicht zu behaupten, wie sich der eingeklagte Betrag zusammensetzt. Mit Blick auf das Verhältnis zwischen Untersuchungsgrundsatz und Mitwirkungs pflicht genügt ein blosser Verweis in der Klage auf die Beitrags übersicht nur bei Evidenz, wenn also der Gesamtbetrag ohne wei teres aus der beigelegten Beitragsübersicht ersichtlich ist. Ist in dessen nicht offensichtlich erkennbar, wie sich der Forderungsbe trag zusammensetzt, sei es wegen widersprüchlicher Saldi, unter schiedlich datierter Buchungen, schwankender Beiträge, Stornie rungen oder Verrechnungen (z.B. mit FAK-Guthaben), ist es nicht Sache des angerufenen Gerichtes, selbst in EDV-Ausdrucken und Abrechnungen nach denjenigen Positionen zu forschen, welche für die Schadenshöhe von Belang sind, und zu eruieren, wie der For derungsbetrag doch ermittelt werden könnte. Vielmehr hat die Ausgleichskasse im Rahmen ihrer Mitwirkungspflicht durch erläu ternde Bezugnahme auf die Beitragsübersicht und andere von ihr eingereichte Akten darzutun, wie und gestützt worauf sie den For derungsbetrag ermittelt hat. Andererseits gehört zur Substanziierungspflicht auch, den einge klagten Forderungsbetrag oder Teile davon zu belegen, also durch Einreichung von Lohnabrechnungen, Nachzahlungs- oder Veranla gungsverfügungen die in der Beitragsübersicht enthaltenen Zah lungsvorgänge zu beweisen. Dies ist allerdings nur erforderlich, wenn die Forderung in der kantonalen Klageantwort masslich mit konkreten, nicht ohne weiteres widerlegbaren Einwendungen be stritten wird oder sich auf Grund der Akten greifbare Anhalts punkte für Unrichtigkeiten ergeben.“</w:t>
      </w:r>
    </w:p>
    <w:p>
      <w:r>
        <w:rPr>
          <w:b/>
        </w:rPr>
        <w:t>E. 2.5</w:t>
      </w:r>
    </w:p>
    <w:p>
      <w:r>
        <w:t>Angesichts dieser höchstrichterlichen Praxis bedarf es keiner weiteren Ausführun gen, dass die Beschwerdegegnerin ihrer Obliegenheit, den geltend gemachten Schadenersatzbetrag zu substanz iieren und zu belegen, nicht rechts genügend nachgekommen ist. Angesichts der Gutschriftsanzeigen vom 10. Februar 2012 (Urk. 8/432-442), die - wie ausgeführt (vgl. E. 2.3) - bei der Schadensberechnung der Beschwerdegegnerin aus welchen Gründen auch im mer keine Berücksichtigung fanden, verbietet es sich davon zu sprechen, dass die Forderung ausgewiesen oder gar „evident“ sei. Selbst wenn man den Un tersuchungsgrundsatz vorliegend über das höchstrichterlich geforderte Mass ausdehnte , würde dies nichts ändern. Aufgrund der vorliegenden Akten ist es auch bei genauer Durchforstung der massgeblichen Dokumente unmöglich, den korrekten Schadenersatzbetrag zu berechnen beziehungsweise die genannten Gutschriften mit der Schadensberechnung der Beschwerdegegnerin in Einklang zu bringen. Die Beschwerdegegnerin h a tte im vorliegenden Prozess Gelegenheit, sich mit den ausführlich begründeten Rügen betreffend Schadensberechnung in der Beschwerdeschrift (Urk. 1 S. 13 ff.) zu befassen. Sie hielt dies nicht für not wendig, sondern verwies im Wesentlichen auf die (inkonsistente) Aktenlage (vgl. Urk. 7 S. 2) ,</w:t>
      </w:r>
    </w:p>
    <w:p>
      <w:r>
        <w:t>w as nicht genügt.</w:t>
      </w:r>
    </w:p>
    <w:p>
      <w:r>
        <w:t>Aus dem Gesagten folgt, dass sich die Sache als nicht spruchreif erweist, da nicht ermittelt werden kann, ob der Beschwerdegegnerin überhaupt ein Schaden erwachsen ist beziehungsweise auf welchen Betrag sich dieser Schaden gegebe nenfalls beläuft. Demzufolge ist der angefochtene Einspracheentscheid vom 28. März 2013 (Urk. 2) insoweit aufzuheben und die Sache an die Beschwerde gegnerin zurückzuweisen, damit sie den geltend gemachten Schaden gehörig substanziiert und hernach gegebenenfalls neu verfügt. Bei diesem Ausgang des Verfahrens muss an dieser Stelle auf die weiteren von der Beschwerdeführerin vorgetragenen Rügen (insbesondere auch in masslicher Hinsicht) nicht einge gangen werden.</w:t>
      </w:r>
    </w:p>
    <w:p>
      <w:r>
        <w:rPr>
          <w:b/>
        </w:rPr>
        <w:t>E. 3</w:t>
      </w:r>
    </w:p>
    <w:p>
      <w:r>
        <w:t>AHVG ausgelöst. Mit Erlass der Schadenersatzverfügung vom 17. Februar 2012 (Urk. 8/443) wahrte die Be schwerdegegnerin diese Frist. Die streitgegenständliche Forderung ist demnach nicht verjährt. 2.</w:t>
      </w:r>
    </w:p>
    <w:p>
      <w:r>
        <w:rPr>
          <w:b/>
        </w:rPr>
        <w:t>E. 3.1</w:t>
      </w:r>
    </w:p>
    <w:p>
      <w:r>
        <w:t>Im angefochtenen Einspracheentscheid vom 28. März 2013 (Urk. 2) wies die Beschwerdegegnerin den Antrag der Beschwerdeführerin auf Zusprechung einer Parteientschädigung ab (vgl. Dispositiv Ziff. 1 Satz 2).</w:t>
      </w:r>
    </w:p>
    <w:p>
      <w:r>
        <w:t>Mit vorliegender Beschwerde liess sie weiterhin beantragen, es sei die Beschwerde gegnerin zu verpflichten, ihr für das Einspracheverfahren eine Par teientschädigung zu bezahlen (Urk. 1 S. 2).</w:t>
      </w:r>
    </w:p>
    <w:p>
      <w:r>
        <w:rPr>
          <w:b/>
        </w:rPr>
        <w:t>E. 3.2</w:t>
      </w:r>
    </w:p>
    <w:p>
      <w:r>
        <w:t>Nach Art. 52 Abs. 3 des Bundesgesetzes über den Allgemeinen Teil des Sozialver sicherungsrechts (ATSG) ist das Einspracheverfahren kostenlos. Partei entschädigungen werden in der Regel nicht ausgerichtet.</w:t>
      </w:r>
    </w:p>
    <w:p>
      <w:r>
        <w:t>Die Beschwerdegegnerin erläuterte im angefochtenen Einspracheentscheid aus führlich, dass vorliegend keine besonderen Umstände gegeben sind, die Anlass geben könnten, von der genannten Regel abzuweichen (Urk. 1 E. 7). Darauf kan n verwiesen werden. Insbesondere ist darauf hinzuweisen, dass die Komple xitä t des vorliegenden Falles diejenige vergleichbarer Fälle nicht übersteigt. Die Einsprache b egründung vom 23. März 2012 (Urk. 8/449) umfasst 15 Seiten. Auch das kann nicht als aussergewöh nlich oder besonders bezeichne t werden. Schliesslich ändern auch die gesundheitlichen Probleme der Beschwerdeführerin nichts daran, dass kein hinreichender Grund ersichtlich ist, dass von der Regel, wonach im Einspracheverfahren keine Parteientschädigungen ausgerichtet wer den, abgewichen werden könnte.</w:t>
      </w:r>
    </w:p>
    <w:p>
      <w:r>
        <w:t>Demzufolge ist die Beschwerde insoweit abzuweisen.</w:t>
      </w:r>
    </w:p>
    <w:p>
      <w:r>
        <w:rPr>
          <w:b/>
        </w:rPr>
        <w:t>E. 4</w:t>
      </w:r>
    </w:p>
    <w:p>
      <w:r>
        <w:t>.</w:t>
      </w:r>
    </w:p>
    <w:p>
      <w:r>
        <w:t>Zustellung gegen Empfangsschein an: - Rechtsanwalt Stephan Kübler - Sozialversicherungsanstalt des Kantons Zürich, Ausgleichskasse - Bundesamt für Sozialversicherungen</w:t>
      </w:r>
    </w:p>
    <w:p>
      <w:r>
        <w:rPr>
          <w:b/>
        </w:rPr>
        <w:t>E. 5</w:t>
      </w:r>
    </w:p>
    <w:p>
      <w:r>
        <w:t>.</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