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AK.2011.00048 vom 20. Februar 2012</w:t>
      </w:r>
    </w:p>
    <w:p>
      <w:r>
        <w:t>ZH Sozialversicherungsgericht, 2012-02-20, DE</w:t>
      </w:r>
    </w:p>
    <w:p>
      <w:r>
        <w:rPr>
          <w:b/>
        </w:rPr>
        <w:t xml:space="preserve">Quelle: </w:t>
      </w:r>
      <w:r>
        <w:t>https://mcp.opencaselaw.ch/entscheid/zh_sozialversicherungsgericht_AK.2011.00048</w:t>
      </w:r>
    </w:p>
    <w:p>
      <w:r>
        <w:t>FR: ZH_SOZIALVERSICHERUNGSGERICHT AK.2011.00048 du 20 février 2012</w:t>
      </w:r>
    </w:p>
    <w:p>
      <w:r>
        <w:t>IT: ZH_SOZIALVERSICHERUNGSGERICHT AK.2011.00048 del 20 febbraio 2012</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vgl. BGE 132 III 523 E. 4.5). Haben mehrere Arbeitgeber oder mehrere Organe einer juristischen Person einen Schaden verursacht, haften sie solidarisch (BGE 114 V 213 E. 3 mit Hinweisen).</w:t>
      </w:r>
    </w:p>
    <w:p>
      <w:r>
        <w:t>Â Â Â Â Â Â Â Â  Die Vorschriften Ã¼ber die Arbeitgeberhaftung nach Art. 52 AHVG sowie die dazu entwickelte Rechtsprechung des Bundesgerichts finden mangels eigener Bestimmungen sinngemÃ¤ss Anwendung auf die Invalidenversicherungs- (Art. 66 des Bundesgesetzes Ã¼ber die Invalidenversicherung) und die ErwerbsersatzordnungsbeitrÃ¤ge (Art. 21 Abs. 2 des Bundesgesetzes Ã¼ber die Erwerbsersatzordnung fÃ¼r Dienstleistende in Armee, Zivildienst und Zivilschutz). Ferner haften die Arbeitgeber und ihre Organe auch fÃ¼r entgangene BeitrÃ¤ge an die Arbeitslosenversicherung (Art. 6 des Bundesgesetzes Ã¼ber die obligatorische Arbeitslosenversicherung und die InsolvenzentschÃ¤digung; BGE 113 V 186).</w:t>
      </w:r>
    </w:p>
    <w:p>
      <w:r>
        <w:rPr>
          <w:b/>
        </w:rPr>
        <w:t>E. 1.2</w:t>
      </w:r>
    </w:p>
    <w:p>
      <w:r>
        <w:t>1.2.1Â Â  Der Schaden gilt als eingetreten, sobald anzunehmen ist, dass die geschuldeten BeitrÃ¤ge aus rechtlichen oder tatsÃ¤chlichen GrÃ¼nden nicht mehr erhoben werden kÃ¶nnen (BGE 126 V 443 E. 3a, 121 III 382 E. 3bb, 388 E.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12 E. 5b, 170 E. 2a, 112 V 156 E. 2, 108 V 189 E. 2d, je mit Hinweisen). Im zweiten Fall gilt der Schadenseintritt als erfolgt, sobald die BeitrÃ¤ge wegen der ZahlungsunfÃ¤higkeit des Arbeitgebers nicht mehr im ordentlichen Verfahren nach Art. 14 ff. AHVG erhoben werden kÃ¶nnen (BGE 123 V 12 E. 5b, 170 E. 2a, 121 III 382 E. 3bb, 113 V 256, 112 V 156 E. 2).</w:t>
      </w:r>
    </w:p>
    <w:p>
      <w:r>
        <w:t>1.2.2Â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4 oben).</w:t>
      </w:r>
    </w:p>
    <w:p>
      <w:r>
        <w:t>Â Â Â Â 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 2.3, 128 V 12 E. 5a, 126 V 445 E. 3c).</w:t>
      </w:r>
    </w:p>
    <w:p>
      <w:r>
        <w:t>1.2.3Â Â  Das Konkursverfahren Ã¼ber die Y.___ AG wurde - wie bereits erwÃ¤hnt - am 6. Dezember 2010 mangels Aktiven eingestellt (Urk. 7/2). Mit dem Erlass der SchadenersatzverfÃ¼gung vom 7. Oktober 2011 (Urk. 7/6) wahrte die Beschwerdegegnerin die zweijÃ¤hrige VerjÃ¤hrungsfrist von Art. 52 Abs. 3 AHVG. Die streitgegenstÃ¤ndliche Forderung ist somit noch nicht verjÃ¤hrt.</w:t>
      </w:r>
    </w:p>
    <w:p>
      <w:r>
        <w:rPr>
          <w:b/>
        </w:rPr>
        <w:t>E. 2</w:t>
      </w:r>
    </w:p>
    <w:p>
      <w:r>
        <w:t>2.1Â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rPr>
          <w:b/>
        </w:rPr>
        <w:t>E. 2.2</w:t>
      </w:r>
    </w:p>
    <w:p>
      <w:r>
        <w:t>2.2.1Â Â  Die Beschwerdegegnerin stÃ¼tzte ihre Forderung gegenÃ¼ber dem BeschwerdefÃ¼hrer im Wesentlichen auf den Kontokorrentauszug vom 30. November 2010 (Urk. 7/3) und die Konkurseingabe vom 30. November 2010 (Urk. 7/4). Aus dem Kontokorrentauszug vom 30. November 2010 (Urk. 7/3) ergibt sich ein Saldo zu Lasten der Y.___ AG in der HÃ¶he von Fr. 62'887.90 (Wert per 30. November 2010). Die Y.___ AG war mit der Entrichtung von SozialversicherungsbeitrÃ¤gen und den darauf geschuldeten Nebenkosten bereits seit mehreren Jahren im RÃ¼ckstand.</w:t>
      </w:r>
    </w:p>
    <w:p>
      <w:r>
        <w:t>2.2.2Â Â  Die SchadenshÃ¶he wurde vom BeschwerdefÃ¼hrer nicht in Zweifel gezogen; sie ist durch den Kontokorrentauszug (Urk. 7/3) sowie die Konkurseingabe (Urk. 7/4) belegt. Zu Gunsten des BeschwerdefÃ¼hrers ist allerdings zu berÃ¼cksichtigen, dass er rechtsprechungsgemÃ¤ss grundsÃ¤tzlich nur fÃ¼r jene AusstÃ¤nde haftbar gemacht werden kann, die vor der KonkurserÃ¶ffnung innert der auf die FÃ¤lligkeit folgenden zehntÃ¤gigen Zahlungsfrist hÃ¤tten beglichen werden mÃ¼ssen (AHI 1994 S. 36 Erw. 6b). Somit sind diejenigen Rechnungspositionen, die nicht mindestens zehn Tage vor der KonkurserÃ¶ffnung vom 20. Oktober 2010 in Rechnung gestellt wurden, von der gesamten Schadenssumme von Fr. 62'887.90 abzuziehen. Es handelt sich dabei um folgende Positionen: Verzugszinsen von Fr. 1'909.75 (Rechnungsdatum: 13. Oktober 2010), Zahlungsbefehlskosten von Fr. 100.-- (Rechnungsdatum: 29. Oktober 2010), Unkosten fÃ¼r die Konkurseingabe von Fr. 18.-- (Rechnungsdatum: 10. November 2010), Nachtragsabrechnung von Fr. 253.30 (Rechnungsdatum: 19. November 2010) und Verzugszinsen von Fr. 54.75 (Rechnungsdatum: 30. November 2010). Somit ergibt sich ein vorliegend relevanter Schadensbetrag von Fr. 60'552.10 (= Fr. 62'887.90 ./. Fr. 1'909.75 ./. Fr. 100.-- ./. Fr. 18.-- ./. Fr. 253.30 ./. Fr. 54.75).</w:t>
      </w:r>
    </w:p>
    <w:p>
      <w:r>
        <w:rPr>
          <w:b/>
        </w:rPr>
        <w:t>E. 3</w:t>
      </w:r>
    </w:p>
    <w:p>
      <w:r>
        <w:t>3.1Â Â Â Â  Art. 14 Abs. 1 AHVG und dieÂ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3.2Â Â Â Â  Aus den Akten ist ersichtlich, dass die Y.___ AG den ihr als Arbeitgeberin obliegenden Zahlungsverpflichtungen schon seit mehreren Jahren nicht mehr vollstÃ¤ndig nachgekommen ist. Aus dem Kontokorrentauszug (Urk. 7/3) geht hervor, dass die Gesellschaft mindestens seit dem Jahre 2007 mit der Bezahlung von SozialversicherungsbeitrÃ¤gen im RÃ¼ckstand war; der Saldo war seither nie mehr ausgeglichen. Deshalb sah sich die Ausgleichskasse veranlasst, die Gesellschaft wiederholt zu mahnen und ihr Verzugszinsen in Rechnung zu stellen (vgl. Urk. 7/3). Schliesslich blieb die Y.___ AG der Ausgleichskasse geschuldete SozialversicherungsbeitrÃ¤ge (inklusive Nebenkosten) in der HÃ¶he von Fr. 62'887.90 schuldig (vgl. Urk. 7/3-4), wovon vorliegend - wie ausgefÃ¼hrt - Fr. 60'552.10 relevant sind (vgl. E. 2.2.2). Es bedarf keiner weiteren AusfÃ¼hrungen, dass die Y.___ AG Vorschriften im Sinne von Art. 52 Abs. 1 AHVG verletzt hat, weshalb der von ihr verursachte Schaden grundsÃ¤tzlich voll zu decken ist.</w:t>
      </w:r>
    </w:p>
    <w:p>
      <w:r>
        <w:t>Â Â Â Â Â Â Â Â  Zu prÃ¼fen bleibt, inwieweit diese Missachtung Ã¶ffentlichrechtlicher Arbeitgeberpflichten auf grobfahrlÃ¤ssiges oder vorsÃ¤tzliches Verhalten des BeschwerdefÃ¼hrers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ZAK 1985 S. 576 E. 2 und S. 619 E. 3a).</w:t>
      </w:r>
    </w:p>
    <w:p>
      <w:r>
        <w:rPr>
          <w:b/>
        </w:rPr>
        <w:t>E. 4.2</w:t>
      </w:r>
    </w:p>
    <w:p>
      <w:r>
        <w:t>4.2.1Â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 3a S. 202; ZAK 1985 S. 51 E. 2a, 620 E. 3b; vgl. BGE 132 III 523 E. 4.6 S. 529).</w:t>
      </w:r>
    </w:p>
    <w:p>
      <w:r>
        <w:t>4.2.2Â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199 E. 3a; ZAK 1985 S. 620 E.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199 E. 3b).</w:t>
      </w:r>
    </w:p>
    <w:p>
      <w:r>
        <w:rPr>
          <w:b/>
        </w:rPr>
        <w:t>E. 5</w:t>
      </w:r>
    </w:p>
    <w:p>
      <w:r>
        <w:t>5.1Â Â Â Â  Der BeschwerdefÃ¼hrer brachte zu seiner Entlastung im Wesentlichen vor, dass er beziehungsweise die Y.___ AG regelmÃ¤ssig und korrekt alle SozialversicherungsbeitrÃ¤ge bezahlt habe. Trotz der schwierigen Wirtschaftslage in den Jahren 2008 und 2009 habe er versucht, seinen Betrieb mit teilweise mehr als zwanzig Angestellten aufrecht zu erhalten. Leider sei er dabei, obwohl er sein ganzes VermÃ¶gen in die Gesellschaft gesteckt habe, nicht erfolgreich gewesen. Daraus kÃ¶nne man seine Ernsthaftigkeit und seinen guten Willen erkennen. Einige Kunden der Y.___ AG hÃ¤tten ihre Rechnungen nicht mehr bezahlen kÃ¶nnen, so dass es zu ZahlungsausfÃ¤llen in der HÃ¶he von Fr. 150'000.-- gekommen sei. Deshalb habe Ã¼ber die Y.___ AG der Konkurs erÃ¶ffnet werden mÃ¼ssen. Es sei unverstÃ¤ndlich, dass er nun auch noch fÃ¼r seinen guten Willen und Einsatz bestraft werde. Deshalb sei von einer Schadenersatzforderung abzusehen beziehungsweise diese so zu reduzieren, dass er eine reelle MÃ¶glichkeit erkennen kÃ¶nne, die Forderung in den nÃ¤chsten Jahren zu begleichen.</w:t>
      </w:r>
    </w:p>
    <w:p>
      <w:r>
        <w:t>5.2Â Â Â Â  Vorweg ist festzuhalten, dass im vorliegenden Prozess nicht zu untersuchen ist, ob der Konkurs der Y.___ AG hÃ¤tte vermieden werden kÃ¶nnen oder ob am Prozess nicht beteiligten Drittpersonen diesbezÃ¼glich irgendein Schuldvorwurf gemacht werden kÃ¶nnte, weil sie ihren vertraglichen Pflichten gegenÃ¼ber der Konkursitin nicht nachgekommen sind. Es ist vorliegend einzig zu entscheiden, ob die Y.___ AG die ihr als Arbeitgeberin obliegenden Pflichten verletzt hat und ob gegebenenfalls ein qualifiziertes Verschulden des BeschwerdefÃ¼hrers zu bejahen ist.</w:t>
      </w:r>
    </w:p>
    <w:p>
      <w:r>
        <w:rPr>
          <w:b/>
        </w:rPr>
        <w:t>E. 5.3</w:t>
      </w:r>
    </w:p>
    <w:p>
      <w:r>
        <w:t>5.3.1Â Â  Der BeschwerdefÃ¼hrer war seit dem 24. September 2007 einziger und einzelzeichnungsberechtigter Verwaltungsrat der Y.___ AG, einem kleinen Unternehmen mit einfacher Verwaltungsstruktur und nur relativ wenigen Angestellten (Urk. 9; vgl. auch Urk. 1). Bei derart leicht Ã¼berschaubaren VerhÃ¤ltnissen muss vom einzigen Verwaltungsrat einer Aktiengesellschaft verlangt werden, dass er den Ãberblick Ã¼ber alle wesentlichen Belange des Unternehmens hat.</w:t>
      </w:r>
    </w:p>
    <w:p>
      <w:r>
        <w:t>Â Â Â Â Â Â Â Â  Der BeschwerdefÃ¼hrer muss sich demnach den Vorhalt gefallen lassen, dass die Y.___ AG der Beschwerdegegnerin Ã¼ber mehrere Jahre hinweg, nÃ¤mlich seit dem Jahr 2007, SozialversicherungsbeitrÃ¤ge (inklusive Nebenkosten) schuldig geblieben ist. Das Beitragskonto der Y.___ AG war denn auch mindestens seit dem Jahr 2007 niemals ausgeglichen (vgl. Urk. 7/3). WÃ¤hrend derselben Zeit richtete die Y.___ AG Lohnzahlungen aus, ohne die darauf geschuldeten SozialversicherungsbeitrÃ¤ge vollstÃ¤ndig zu begleichen (vgl. Urk. 7/3). Mit anderen Worten wurde den Lohnzahlungen PrioritÃ¤t vor der Beitragsentrichtung eingerÃ¤umt. Indem der BeschwerdefÃ¼hrer nicht gegen diese Praxis der Y.___ AG einschritt beziehungsweise selber diese Vorgehensweise wÃ¤hlte, verletzte er seine Ã¶ffentlichrechtlichen Pflichten als einziger Verwaltungsrat einer Aktiengesellschaft. Er hÃ¤tte nÃ¤mlich dafÃ¼r sorgen mÃ¼ssen, dass die Gesellschaft nur LÃ¶hne ausrichtet, fÃ¼r die sie auch die entsprechenden SozialversicherungsbeitrÃ¤ge zu leisten imstande ist (fÃ¼r viele etwa: Urteil des damaligen EidgenÃ¶ssischen Versicherungsgerichts H 26/06 vom 10. April 2006, E. 4.3 mit Hinweis).</w:t>
      </w:r>
    </w:p>
    <w:p>
      <w:r>
        <w:t>5.3.2Â Â  Soweit der BeschwerdefÃ¼hrer dagegen einwandte, dass er regelmÃ¤ssig und korrekt alle SozialversicherungsbeitrÃ¤ge abgeliefert habe, ist ihm entgegenzuhalten, dass der unbestritten gebliebene Kontokorrentauszug vom 30. November 2010 (Urk. 7/3) ein anderes Bild zeichnet. Wie bereits ausgefÃ¼hrt wurde, war das Konto der Y.___ AG wÃ¤hrend mehrerer Jahre niemals ausgeglichen.</w:t>
      </w:r>
    </w:p>
    <w:p>
      <w:r>
        <w:t>Dass sich der BeschwerdefÃ¼hrer fÃ¼r das wirtschaftliche Ãberleben der Y.___ AG einsetzte und dafÃ¼r auch sein VermÃ¶gen einsetzte, kann ihn im vorliegenden Zusammenhang nicht entlasten, denn das Ã¤ndert nichts daran, dass die Beschwerdegegnerin durch die prioritÃ¤re Bezahlung der Lohnforderungen vor der Beitragsentrichtung zu Schaden gekommen ist. Wie dargelegt wurde, geht es vorliegend nicht um einen kurzen Normverstoss; vielmehr handelte es sich - wie aus Urk. 3/7 ersichtlich ist - um eine langjÃ¤hrige Praxis der Y.___ AG.</w:t>
      </w:r>
    </w:p>
    <w:p>
      <w:r>
        <w:t>Auch der Umstand, dass verschiedene Kunden ihren vertraglichen Verpflichtungen gegenÃ¼ber der Y.___ AG nicht nachgekommen sind, weshalb diese nach Angaben des BeschwerdefÃ¼hrers einen Ausfall von Fr. 150'000.-- zu verzeichnen hatte, kann nicht als Entlastungs- oder Schuldausschlussgrund dienen (vgl. dazu auch E. 5.2). Mit solchen ZahlungsausfÃ¤llen muss gerade in wirtschaftlich schwierigen Zeiten gerechnet werden. Umso weniger darf in solchen Situationen, etwa wenn in den BÃ¼chern einer Unternehmung zahlreiche ungesicherte Debitorenforderungen fraglicher BonitÃ¤t stehen, den Lohnzahlungen PrioritÃ¤t vor der Beitragsentrichtung eingerÃ¤umt werden.</w:t>
      </w:r>
    </w:p>
    <w:p>
      <w:r>
        <w:t>5.3.3Â Â  Zusammenfassend lÃ¤sst sich festhalten, dass die (jahrelang geÃ¼bte) prioritÃ¤re Behandlung der Lohnzahlungen durch die Y.___ AG aus AHV-rechtlicher Sicht nicht zu rechtfertigen war. Der BeschwerdefÃ¼hrer hÃ¤tte als einziger Verwaltungsrat der Y.___ AG gegen diese Praxis einschreiten mÃ¼ssen. Rechtfertigungs- oder SchuldausschlussgrÃ¼nde liegen nach dem Gesagten nicht vor.</w:t>
      </w:r>
    </w:p>
    <w:p>
      <w:r>
        <w:t>6.Â Â Â Â Â Â  Unter den gegebenen UmstÃ¤nden ist das Verhalten beziehungsweise die PassivitÃ¤t des BeschwerdefÃ¼hrers ohne Weiteres auch als adÃ¤quat kausal (BGE 119 V 406 Erw. 4a) fÃ¼r den bei der Beschwerdegegnerin eingetretenen Schaden zu betrachten. Soweit dieser vorliegend relevant ist (vgl. dazu E. 2.2.2), ist der BeschwerdefÃ¼hrer zu entsprechendem Ersatz zu verhalten. Demzufolge ist der BeschwerdefÃ¼hrer in teilweiser Gutheissung der Beschwerde zu verpflichten, der Beschwerdegegnerin Schadenersatz in der HÃ¶he von Fr. 60'552.10 zu bezahlen.</w:t>
      </w:r>
    </w:p>
    <w:p>
      <w:r>
        <w:t>Das Gericht erkennt:</w:t>
      </w:r>
    </w:p>
    <w:p>
      <w:r>
        <w:t>1.Â Â Â Â Â Â Â Â  In teilweiser Gutheissung der Beschwerde wird der BeschwerdefÃ¼hrer verpflichtet, der Beschwerdegegnerin Schadenersatz in der HÃ¶he von Fr. 60'552.10 zu bezahlen.</w:t>
      </w:r>
    </w:p>
    <w:p>
      <w:r>
        <w:t>2.Â Â Â Â Â Â Â Â  Das Verfahren ist kostenlos.</w:t>
      </w:r>
    </w:p>
    <w:p>
      <w:r>
        <w:t>3.Â Â Â Â Â Â Â Â  Zustellung gegen Empfangsschein an:</w:t>
      </w:r>
    </w:p>
    <w:p>
      <w:r>
        <w:t>- X.___</w:t>
      </w:r>
    </w:p>
    <w:p>
      <w:r>
        <w:t>- Ausgleichskasse Arbeitgeber Basel (AK 40)</w:t>
      </w:r>
    </w:p>
    <w:p>
      <w:r>
        <w:t>- Bundesamt fÃ¼r Sozialversicherungen</w:t>
      </w:r>
    </w:p>
    <w:p>
      <w:r>
        <w:t>4.Â Â Â Â Â Â Â Â  Da der Streitwert Fr. 30'000.-- Ã¼bersteigt, kann gegen diesen Entscheid innert 30 Tagen seit der Zustellung beim Bundesgericht Beschwerde eingereicht werden (Art. 82 ff., insbesondere Art. 85,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