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AK.2011.00043 vom 27. März 2012</w:t>
      </w:r>
    </w:p>
    <w:p>
      <w:r>
        <w:t>ZH Sozialversicherungsgericht, 2012-03-27, DE</w:t>
      </w:r>
    </w:p>
    <w:p>
      <w:r>
        <w:rPr>
          <w:b/>
        </w:rPr>
        <w:t xml:space="preserve">Quelle: </w:t>
      </w:r>
      <w:r>
        <w:t>https://mcp.opencaselaw.ch/entscheid/zh_sozialversicherungsgericht_AK.2011.00043</w:t>
      </w:r>
    </w:p>
    <w:p>
      <w:r>
        <w:t>FR: ZH_SOZIALVERSICHERUNGSGERICHT AK.2011.00043 du 27 mars 2012</w:t>
      </w:r>
    </w:p>
    <w:p>
      <w:r>
        <w:t>IT: ZH_SOZIALVERSICHERUNGSGERICHT AK.2011.00043 del 27 marzo 2012</w:t>
      </w:r>
    </w:p>
    <w:p>
      <w:pPr>
        <w:pStyle w:val="Heading2"/>
      </w:pPr>
      <w:r>
        <w:t>Erwägungen</w:t>
      </w:r>
    </w:p>
    <w:p>
      <w:r>
        <w:rPr>
          <w:b/>
        </w:rPr>
        <w:t>E. 1</w:t>
      </w:r>
    </w:p>
    <w:p>
      <w:r>
        <w:t>1.1Â Â Â Â  Nach Art. 52 Abs. 1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bis Ende 2008 geltenden Kinderzulagengesetzes; nicht publiziertes Urteil des Bundesgerichts 2P.251/1996 vom 30. Juni 1997) beziehungsweise die BeitrÃ¤ge gemÃ¤ss dem am 1. Januar 2009 in Kraft getretenen Bundesgesetz Ã¼ber die Familienzulagen (Art. 25 lit. c FamZG).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1.2.3Â Â  Im vorliegenden Fall wurde der Beschwerdegegnerin - wie bereits erwÃ¤hnt - am 2. Oktober 2009 ein Verlustschein im Sinne von Art. 115 Abs. 1 und Art. 149 SchKG ausgestellt (Urk. 7/193). Als die Beschwerdegegnerin von diesem Verlustschein Kenntnis erhielt, wurde die zweijÃ¤hrige VerjÃ¤hrungsfrist von Art. 52 Abs. 3 AHVG ausgelÃ¶st. Mit dem Erlass der SchadenersatzverfÃ¼gung vom 11. Mai 2011 (Urk. 7/236) wahrte die Beschwerdegegnerin die genannte Frist. Die streitgegenstÃ¤ndliche Forderung ist somit nicht verjÃ¤hrt.</w:t>
      </w:r>
    </w:p>
    <w:p>
      <w:r>
        <w:t>Â Â Â Â Â Â Â Â  AnzufÃ¼gen ist, dass die von der Beschwerdegegnerin im angefochtenen Einspracheentscheid vertretene Auffassung, wonach die VerjÃ¤hrungsfrist erst am 17. Dezember 2009 (Einstellung des Konkursverfahrens) in Gang gesetzt worden sei (Urk. 2 S. 2 Ziffer 2), nach dem AusgefÃ¼hrten nicht korrekt ist, weil ihr bereits vor diesem Zeitpunkt ein fristauslÃ¶sender PfÃ¤ndungsverlustschein zugestellt worden war. Die unzutreffende Rechtsauffassung der Beschwerdegegnerin bleibt vorliegend jedoch ohne weitere Auswirkungen; die Frist wurde - wie ausgefÃ¼hrt - gewahrt.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rPr>
          <w:b/>
        </w:rPr>
        <w:t>E. 2.2</w:t>
      </w:r>
    </w:p>
    <w:p>
      <w:r>
        <w:t>2.2.1Â Â  Die Beschwerdegegnerin stÃ¼tzte ihre Forderung gegenÃ¼ber der BeschwerdefÃ¼hrerin im Wesentlichen auf die Jahresabrechnung der Z.___ fÃ¼r das Jahr 2007 (Urk. 7/26) sowie den Bericht des Revisors vom 2. MÃ¤rz 2010 (Urk. 7/219; vgl. auch Urk. 7/221). Im Weiteren liegen der Kontoauszug vom 6. Januar 2012 (Urk. 7/272), die BeitragsÃ¼bersicht desselben Datums (Urk. 7/273), diverse Mahnungen (Urk. 7/17, 7/29, 7/73-74, 7/100, 7/143-144, 7/148, 7/152, 7/159, 7/161 und 7/166-167), Betreibungsbegehren (Urk. 7/102, 7/168 und 7/190), Zahlungsbefehle (Urk. 7/130, 7/184 und 7/204-205), Verzugszinsabrechnungen (Urk. 7/19, 7/28, 7/34, 7/186, 7/218 und 7/226), ein Verlustschein (Urk. 7/193) und zahlreiche Verlustausweise (Urk. 7/241/1-136 und 7/244) bei den Akten.</w:t>
      </w:r>
    </w:p>
    <w:p>
      <w:r>
        <w:t>Â Â Â Â Â Â Â Â  Insgesamt blieb die Z.___ der Beschwerdegegnerin SozialversicherungsbeitrÃ¤ge (inklusive Nebenkosten) in der HÃ¶he von Fr. 528'059.75 schuldig (vgl. Urk. 7/272-273). Dieser Ausstand resultiert aus der GegenÃ¼berstellung der gemÃ¤ss BeitragsÃ¼bersicht und Kontoauszug geschuldeten SozialversicherungsbeitrÃ¤ge (inklusive Nebenkosten) und der von der Z.___ geleisteten Zahlungen (Urk. 7/272-273).</w:t>
      </w:r>
    </w:p>
    <w:p>
      <w:r>
        <w:t>2.2.2Â Â  Da die Beschwerdegegnerin ihre gegen die BeschwerdefÃ¼hrerin gerichtete SchadenersatzverfÃ¼gung in zeitlicher Hinsicht auf das Jahr 2007 beschrÃ¤nkte (vgl. Urk. 2 S. 2 Ziffer 3 und Urk. 7/236), reduziert sich der vorliegend relevante Schaden - gemÃ¤ss Berechnung der Ausgleichskasse - auf Fr. 61'494.55 (= Fr. 114'682.40 ./. Fr. 53'187.85 [gemÃ¤ss SchadenersatzverfÃ¼gung]).</w:t>
      </w:r>
    </w:p>
    <w:p>
      <w:r>
        <w:t>Â Â Â Â Â Â Â Â  Diese Schadensberechnung, die von der BeschwerdefÃ¼hrerin nicht bestritten wurde, erweist sich im Wesentlichen als korrekt; sie ist bloss insoweit zu korrigieren, als dass der Abzug fÃ¼r geleistete Zahlungen und Gutschriften Fr. 53'187.95 betrÃ¤gt, wie im angefochtenen Einspracheentscheid ausgefÃ¼hrt wurde (vgl. Urk. 2 S. 2 Ziffer 3), und nicht Fr. 53'187.85, wovon in der SchadenersatzverfÃ¼gung ausgegangen wurde (Urk. 7/243). Somit ergibt sich ein vorliegend relevanter Schadensbetrag von Fr. 61'494.45 (= Fr. 114'682.40 ./. Fr. 53'187.95). Die einzelnen Schadenspositionen beziehungsweise Gutschriften und geleisteten Zahlungen sind im Kontoauszug (Urk. 7/272) unter Position 2008 0002 ersichtlich. Wie die Beschwerdegegnerin im angefochtenen Einspracheentscheid darlegte (Urk. 2 S. 2 Ziffer 3) brachte sie sÃ¤mtliche angefallenen Mahnkosten und Verzugszinsen in Abzug; auch diese Art der Schadensberechnung ergibt als Resultat eine Schadenssumme von Fr. 61'494.45 (= Fr. 70'571.90 ./. Fr. 20.-- ./. Fr. 3'642.70 ./. Fr. 100.-- ./. Fr. 146.60 ./. Fr. 1'558.70 ./. Fr. 3'609.45).</w:t>
      </w:r>
    </w:p>
    <w:p>
      <w:r>
        <w:t>2.2.3Â Â  Somit ist festzuhalten, dass die Z.___ der Beschwerdegegnerin fÃ¼r das (vorliegend allein relevante) Jahr 2007 BeitrÃ¤ge in der HÃ¶he von Fr. 61'494.45 schuldig blieb. Weiter ergibt sich aus der Jahresabrechnung der Z.___ fÃ¼r das Jahr 2007 (Urk. 7/26), dass die Gesellschaft im Jahr 2007 Lohnzahlungen von insgesamt Fr. 1'021'385.87 ausgerichtet hat.</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ersichtlich, dass die Z.___ den ihr als Arbeitgeberin obliegenden Zahlungsverpflichtungen insbesondere auch im vorliegend massgebenden Jahr 2007 nur unvollstÃ¤ndig nachkam. Die Beschwerdegegnerin sah sich deshalb gezwungen, die Gesellschaft wiederholt zu mahnen und zahlreiche Schuldbetreibungsverfahren einzuleiten (vgl. E. 2.2.1). Schliesslich blieben fÃ¼r das Jahr 2007 geschuldete SozialversicherungsbeitrÃ¤ge (inklusive relevante Nebenkosten) in der HÃ¶he von Fr. 61'494.45 unbezahlt (E. 2.2.2 und 2.2.3). Es bedarf keiner weiteren AusfÃ¼hrungen, dass die Z.___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der BeschwerdefÃ¼hrerin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4.2.2Â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die Anforderungen an die gegenseitige Kontrolle nach einem strengen Massstab (in BGE 119 V 86 nicht publizierte E. 2c des Urteils des Bundesgerichts H 94/91 vom 4. MÃ¤rz 1993, nicht verÃ¶ffentliche Urteile H 171/87 vom 7. Dezember 1987 und H 25/87 vom 4. August 1987).</w:t>
      </w:r>
    </w:p>
    <w:p>
      <w:r>
        <w:t>4.2.3Â Â  Formell eingesetzte GeschÃ¤ftsfÃ¼hrer einer Aktiengesellschaft wie auch Personen, die faktisch die Funktion eines GeschÃ¤ftsfÃ¼hrers ausÃ¼ben, haften fÃ¼r den der Ausgleichskasse zufolge nicht bezahlter BundessozialversicherungsbeitrÃ¤ge entstandenen Schaden nach den gleichen GrundsÃ¤tzen wie die Verwaltungsratsmitglieder einer Aktiengesellschaft. Dagegen besteht fÃ¼r den blossen AktionÃ¤r einer Aktiengesellschaft, gleich wie fÃ¼r den Gesellschafter einer Gesellschaft mit beschrÃ¤nkter Haftung vorbehÃ¤ltlich einer abweichenden statutarischen Regelung (beziehungsweise einer anderen gesellschaftsinternen Ãbung) keine Pflicht zur Kontrolle oder Ãberwachung der GeschÃ¤ftsfÃ¼hrung, weshalb ihm das Fehlverhalten der Gesellschaft auch nicht angerechnet werden darf (vgl. dazu etwa BGE 126 V 237 ff.).</w:t>
      </w:r>
    </w:p>
    <w:p>
      <w:r>
        <w:t>Â Â Â Â Â Â Â Â  Die Schadenersatzpflicht erstreckt sich mit anderen Worten nicht nur auf die formellen Organe einer juristischen Person, sondern auch auf Personen, die im Beitragswesen tatsÃ¤chlich die Funktionen von Organen erfÃ¼llt haben, indem sie Organen vorbehaltene Entscheide getroffen oder die eigentliche GeschÃ¤ftsfÃ¼hrung besorgt und so die Willensbildung der Gesellschaft massgeblich beeinflusst haben (Thomas Nussbaumer, Die Haftung des Verwaltungsrates nach Art. 52 AHVG, AJP 1996, S. 1075 mit Hinweisen).</w:t>
      </w:r>
    </w:p>
    <w:p>
      <w:r>
        <w:rPr>
          <w:b/>
        </w:rPr>
        <w:t>E. 5.1</w:t>
      </w:r>
    </w:p>
    <w:p>
      <w:r>
        <w:t>5.1.1Â Â  Die BeschwerdefÃ¼hrerin brachte zu ihrer Entlastung im Wesentlichen vor, dass sie zwar einzelzeichnungsberechtigte GeschÃ¤ftsfÃ¼hrerin der Z.___ gewesen sei, aber zu keinem Zeitpunkt in eigener Verantwortung Entscheide habe treffen dÃ¼rfen, die das reine AlltagsgeschÃ¤ft Ã¼berstiegen hÃ¤tten. Dies wÃ¤re angesichts ihrer Halbtagesanstellung gar nicht mÃ¶glich gewesen. Die faktische Verantwortung fÃ¼r die Z.___ habe der Beigeladene getragen, an dessen Weisungen sie gebunden gewesen sei. Zudem seien alle Lohnabrechnungen wie auch die Abrechungen mit den SozialversicherungstrÃ¤gern durch eine externe Treuhandfirma erledigt worden. Sie sei zwar darÃ¼ber informiert gewesen, dass es zwischen dem Beigeladenen und dieser Treuhandfirma zu Unstimmigkeiten gekommen sei, weil die Abrechungen durch die Treuhandfirma nicht zeitnah und pflichtgemÃ¤ss erfolgt seien. Der Beigeladene habe ihr jedoch stets versichert, dass dies nicht in ihr Aufgabenfeld falle. Zu einem spÃ¤teren Zeitpunkt habe der Beigeladene die Abrechungen fÃ¼r die Beschwerdegegnerin selbst erstellt. Sie habe zu keiner Zeit einen entsprechenden Einblick oder gar einen Ãberblick gehabt; das sei nicht ihre Aufgabe gewesen. Lediglich am 19. Mai 2008 sei ihr vom Beigeladenen ein Brief an die Beschwerdegegnerin diktiert worden, in dem gebeten wurde, den offenen Rechnungsbetrag von Fr. 114'682.40 zu stunden (Ratenzahlungen). Da sie gemÃ¤ss Handelsregistereintrag einzelzeichnungsberechtigt gewesen sei, habe sie diesen Brief unterzeichnen mÃ¼ssen. FrÃ¼hestens zu diesem Zeitpunkt habe sie Kenntnis vom Zahlungsverzug und der damit zusammenhÃ¤ngenden Pflichtverletzung erlangt. Die Schadensursache sei aber zu diesem Zeitpunkt bereits eingetreten gewesen. Das schliesse eine grobe FahrlÃ¤ssigkeit aus. Da sie weder formelles noch materielles noch faktisches Organ der Z.___ gewesen sei, kÃ¶nne sie fÃ¼r den entstandenen Schaden nicht haftbar gemacht werden. Sie bestreite, dass sie allein gestÃ¼tzt auf den Umstand, dass sie von Dezember 2006 bis September 2008 einzelzeichnungsberechtigte GeschÃ¤ftsfÃ¼hrerin der Z.___ gewesen sei, automatisch auch als Organ der Gesellschaft zu qualifizieren sei. Sie habe stets nur auf Geheiss beziehungsweise Weisung des Verwaltungsrats der Z.___, des Beigeladenen, gehandelt. SchriftstÃ¼cke habe sie aufgrund solcher Weisungen unterzeichnet. Die Beschwerdegegnerin gehe zu Unrecht davon aus, dass nur schon die im Handelsregister eingetragene Einzelzeichnungsberechtigung genÃ¼ge, um eine Person als Gesellschaftsorgan zu bezeichnen. Dem sei nicht so. Zum Konkurs der Z.___ sei es letztlich gekommen, weil die kreditgebende Hausbank alle Debitorenzahlungen vereinnahmt habe und nicht mehr an die Gesellschaft weitergeleitet habe (Urk. 1).</w:t>
      </w:r>
    </w:p>
    <w:p>
      <w:r>
        <w:t>5.1.2Â Â  Der Beigeladene brachte im Wesentlichen vor, dass er ein externes TreuhandbÃ¼ro beauftragt habe, mit der Beschwerdegegnerin abzurechnen. Erst viel zu spÃ¤t sei ihm von der Beschwerdegegnerin mitgeteilt worden, dass hier VersÃ¤umnisse aufgetreten seien. Deshalb treffe die Beschwerdegegnerin ein Mitverschulden; sie hÃ¤tte viel frÃ¼her einschreiten mÃ¼ssen (Urk. 10).</w:t>
      </w:r>
    </w:p>
    <w:p>
      <w:r>
        <w:t>5.2Â Â Â Â  Vorweg ist festzuhalten, dass im vorliegenden Prozess nicht zu untersuchen ist, ob der Konkurs der Z.___ hÃ¤tte vermieden werden kÃ¶nnen oder ob am Prozess nicht beteiligten Drittpersonen diesbezÃ¼glich irgendein Schuldvorwurf gemacht werden kÃ¶nnte, weil sie ihren vertraglichen Pflichten gegenÃ¼ber der Konkursitin nicht nachgekommen sind. Mit anderen Worten steht in diesem Verfahren das Verhalten des von der Z.___ beauftragten externen Treuhandunternehmens nicht zur Diskussion. Entsprechendes gilt fÃ¼r die Hausbank der Z.___. Es ist vorliegend einzig zu entscheiden, ob die Z.___ die ihr als Arbeitgeberin obliegenden Pflichten verletzt hat und ob gegebenenfalls ein qualifiziertes Verschulden der BeschwerdefÃ¼hrerin zu bejahen ist.</w:t>
      </w:r>
    </w:p>
    <w:p>
      <w:r>
        <w:rPr>
          <w:b/>
        </w:rPr>
        <w:t>E. 5.3</w:t>
      </w:r>
    </w:p>
    <w:p>
      <w:r>
        <w:t>5.3.1Â Â  Die BeschwerdefÃ¼hrerin war vom 21. Dezember 2006 bis 10. September 2008 einzelzeichnungsberechtigte GeschÃ¤ftsfÃ¼hrerin der Z.___ (Urk. 12; vgl. auch Urk. 1 S. 1). Bei der Z.___ handelte es sich um ein kleines Unternehmen mit einfacher Verwaltungsstruktur; zwar hatte das Unternehmen relativ viele Angestellte, die aber meistens nur kurze Zeit fÃ¼r die Gesellschaft arbeiteten, doch blieben die ausbezahlten Lohnsummen insgesamt Ã¼berschaubar (vgl. etwa Urk. 7/26 und 7/177 sowie Urk. 7/219/5-6 und 7/221). Es ist somit von leicht Ã¼berschaubaren VerhÃ¤ltnissen auszugehen, weshalb grundsÃ¤tzlich zu verlangen ist, dass nicht nur der Verwaltungsrat, sondern gerade auch die mit der GeschÃ¤ftsfÃ¼hrung betrauten Personen den Ãberblick Ã¼ber alle wesentlichen Belange des Unternehmens haben.</w:t>
      </w:r>
    </w:p>
    <w:p>
      <w:r>
        <w:t>5.3.2Â Â  Die BeschwerdefÃ¼hrerin stellte sich auf den Standpunkt, dass ihr - obwohl sie im Handelsregister als einzelzeichnungsberechtigte GeschÃ¤ftsfÃ¼hrerin der Z.___ eingetragen gewesen sei - bei materieller Betrachtung gar keine Organeigenschaft zugekommen sei. Sie habe keine eigenen Entscheidungsbefugnisse gehabt, stets nur nach den Weisungen des Beigeladenen gehandelt, keinen Einblick in die BÃ¼cher der Gesellschaft gehabt und (wÃ¤hrend langer Zeit) nichts von den BeitragsrÃ¼ckstÃ¤nden gewusst. Die Beschwerdegegnerin widersprach diesen AusfÃ¼hrungen im Wesentlichen mit dem Hinweis, dass die BeschwerdefÃ¼hrerin zwar nach Ziffer 3 des GeschÃ¤ftsfÃ¼hrervertrages (Urk. 7/256) zu einer ganzen Reihe von GeschÃ¤ften die Zustimmung des Verwaltungsrates beziehungsweise der Generalversammlung bedurft habe, der Verkehr mit der Beschwerdegegnerin beziehungsweise die Abrechnung und AbfÃ¼hrung von SozialversicherungsbeitrÃ¤gen aber gerade nicht zu diesen zustimmungsbedÃ¼rftigen GeschÃ¤ften gehÃ¶rt habe. Zudem gehe aus der Stellenbeschreibung (Urk. 7/257) hervor, dass die BeschwerdefÃ¼hrerin die ÂKassaÂ zu fÃ¼hren gehabt habe (Urk. 6 S. 2).</w:t>
      </w:r>
    </w:p>
    <w:p>
      <w:r>
        <w:t>Selbst wenn weiter zu berÃ¼cksichtigen ist, dass aus dem Sitzungsprotokoll vom 2. April 2007 unter Punkt 4 hervorgeht, dass die BeschwerdefÃ¼hrerin fÃ¼r Âdie RechnungenÂ zustÃ¤ndig war (Urk. 7/258) und dass sie am 19. Mai 2008 ein Schreiben an die Beschwerdegegnerin unterzeichnete, in dem sie den Erhalt der Rechnung fÃ¼r das Jahr 2007 in der HÃ¶he von Fr. 114'682.40 bestÃ¤tigte und gleichzeitig fÃ¼r die Z.___ ein Ratenzahlungsgesuch stellte (Urk. 7/31), ist damit nicht erstellt, dass die BeschwerdefÃ¼hrerin als materielles Organ der Z.___ amtete. Aus den Akten lÃ¤sst sich nÃ¤mlich nicht mit hinreichender Wahrscheinlichkeit schliessen, dass die BeschwerdefÃ¼hrerin im Beitragswesen tatsÃ¤chlich die Funktionen eines Organs erfÃ¼llt hÃ¤tte, indem sie Organen vorbehaltene Entscheide getroffen oder die eigentliche GeschÃ¤ftsfÃ¼hrung besorgt und so die Willensbildung der Gesellschaft massgeblich beeinflusst hÃ¤tte (vgl. oben E. 4.2.3 a.E.). Die BeschwerdefÃ¼hrerin war zwar als GeschÃ¤ftsfÃ¼hrerin der Z.___ im Handelsregister eingetragen, es ist aber nach Lage der Akten nicht davon auszugehen, dass sie tatsÃ¤chlich die eigentliche GeschÃ¤ftsfÃ¼hrung der Aktiengesellschaft inne hatte. Im Gegenteil deutet nichts darauf hin, dass es ihr mÃ¶glich gewesen wÃ¤re, in eigener Kompetenz die FinanzflÃ¼sse zu steuern oder (im Beitragswesen) Entscheidungen zu fÃ¤llen. Es ist kein Indiz ersichtlich, dass die offensichtliche und rechtswidrige Praxis der Z.___, den Lohnzahlungen PrioritÃ¤t vor der Beitragsentrichtung zukommen zu lassen, auf eine Entscheidung der BeschwerdefÃ¼hrerin zurÃ¼ckzufÃ¼hren war oder dass sie etwas dagegen hÃ¤tte unternehmen kÃ¶nnen. Das lag alles nicht in ihrem Einflussbereich. Die Kompetenzen, die der BeschwerdefÃ¼hrerin im GeschÃ¤ftsfÃ¼hrervertrag (Urk. 7/256) eingerÃ¤umt wurden, waren dermassen stark limitiert, dass ohnehin nicht von einer GeschÃ¤ftsfÃ¼hrungstÃ¤tigkeit im eigentlichen Sinn gesprochen werden kann. Allein die Tatsache, dass das Beitragswesen beziehungsweise der Verkehr mit der Ausgleichskasse im GeschÃ¤ftsfÃ¼hrervertrag nicht unter den zustimmungsbedÃ¼rftigen GeschÃ¤ften aufgefÃ¼hrt wurde, bedeutet - entgegen der Auffassung der Beschwerdegegnerin - nicht, dass die BeschwerdefÃ¼hrerin im Sinne eines Umkehrschlusses dazu befugt gewesen wÃ¤re, ohne Weiteres Ã¼ber erhebliche GeldbetrÃ¤ge der Z.___ zu verfÃ¼gen, mithin Ã¼ber den Fluss der Finanzmittel der Gesellschaft zu entscheiden.</w:t>
      </w:r>
    </w:p>
    <w:p>
      <w:r>
        <w:t>Ob es angesichts dieser UmstÃ¤nde sachlich gerechtfertigt war, die BeschwerdefÃ¼hrerin im Handelsregister als GeschÃ¤ftsfÃ¼hrerin einzutragen, kann in diesem Prozess offen bleiben, denn allein daraus ergibt sich im vorliegenden Kontext keine haftungsbegrÃ¼ndende Organstellung. Der Sache angemessener wÃ¤re es aber auf jeden Fall gewesen, die BeschwerdefÃ¼hrerin als Assistentin des Beigeladenen (ohne eigene wesentliche Entscheidungsbefugnisse), denn als GeschÃ¤ftsfÃ¼hrerin zu bezeichnen.</w:t>
      </w:r>
    </w:p>
    <w:p>
      <w:r>
        <w:t>Aus dem Gesagten folgt, dass die BeschwerdefÃ¼hrerin nicht als Organ im Sinne des in E. 4.2 (insbesondere in E. 4.2.3) AusgefÃ¼hrten zu qualifizieren ist, weshalb in Bezug auf ihre Person eine Haftung nach Art. 52 AHVG nicht in Betracht kommt. Demzufolge ist der angefochtene Einspracheentscheid vom 27. Oktober 2011 in Gutheissung der Beschwerde aufzuheben.</w:t>
      </w:r>
    </w:p>
    <w:p>
      <w:r>
        <w:t>Das Gericht erkennt:</w:t>
      </w:r>
    </w:p>
    <w:p>
      <w:r>
        <w:t>1.Â Â Â Â Â Â Â Â  In Gutheissung der Beschwerde wird der angefochtene Einspracheentscheid vom 27. Oktober 2011 aufgehoben.</w:t>
      </w:r>
    </w:p>
    <w:p>
      <w:r>
        <w:t>2.Â Â Â Â Â Â Â Â  Das Verfahren ist kostenlos.</w:t>
      </w:r>
    </w:p>
    <w:p>
      <w:r>
        <w:t>3.Â Â Â Â Â Â Â Â  Zustellung gegen Empfangsschein an:</w:t>
      </w:r>
    </w:p>
    <w:p>
      <w:r>
        <w:t>- X.___</w:t>
      </w:r>
    </w:p>
    <w:p>
      <w:r>
        <w:t>- Sozialversicherungsanstalt des Kantons ZÃ¼rich, Ausgleichskasse</w:t>
      </w:r>
    </w:p>
    <w:p>
      <w:r>
        <w:t>- Y.___</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