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AK.2011.00011 vom 24. September 2012</w:t>
      </w:r>
    </w:p>
    <w:p>
      <w:r>
        <w:t>ZH Sozialversicherungsgericht, 2012-09-24, DE</w:t>
      </w:r>
    </w:p>
    <w:p>
      <w:r>
        <w:rPr>
          <w:b/>
        </w:rPr>
        <w:t xml:space="preserve">Quelle: </w:t>
      </w:r>
      <w:r>
        <w:t>https://mcp.opencaselaw.ch/entscheid/zh_sozialversicherungsgericht_AK.2011.00011</w:t>
      </w:r>
    </w:p>
    <w:p>
      <w:r>
        <w:t>FR: ZH_SOZIALVERSICHERUNGSGERICHT AK.2011.00011 du 24 septembre 2012</w:t>
      </w:r>
    </w:p>
    <w:p>
      <w:r>
        <w:t>IT: ZH_SOZIALVERSICHERUNGSGERICHT AK.2011.00011 del 24 settembre 2012</w:t>
      </w:r>
    </w:p>
    <w:p>
      <w:pPr>
        <w:pStyle w:val="Heading2"/>
      </w:pPr>
      <w:r>
        <w:t>Erwägungen</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2.2Â Â Â Â  Die Schadenersatzforderung im Betrag von Fr. 31Â880.30 betrifft die unbezahlt gebliebenen LohnbeitrÃ¤ge fÃ¼r die Jahre 2007 und 2008 sowie Verwaltungskosten, Verzugszinse, MahngebÃ¼hren und Betreibungskosten (Urk. 7/43) und setzt sich aus den durch die PfÃ¤ndungsverlustscheine vom 15. April 2008 (Urk. 7/35) und vom 25. April 2008 (Urk. 7/38) ausgewiesenen Forderungen im Betrag von insgesamt Fr. 32Â477.95 und von in Abzug gebrachten Zahlungen im Betrag von Fr. 597.65 zusammen. In masslicher Hinsicht wird die Bemessung des Schadens mit Fr. 31Â880.30 durch den BeschwerdefÃ¼hrer zu Recht nicht bestritten (Urk. 1). Der Schaden ist in diesem Umfang durch die Akten ausgewiesen (vgl. auch Kontoauszug und BeitragsÃ¼bersicht, Urk. 17/1-2).</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zu ersehen, dass die Y.___ GmbH seit dem 1. Januar 2006 (Urk. 7/7) verzugszinspflichtig wurde und ab dem 19. Juni 2006 (Urk. 7/8) wiederholt fÃ¼r die Entrichtung der geschuldeten LohnbeitrÃ¤ge gemahnt und betrieben werden musste. Auf Grund der an den BeschwerdefÃ¼hrer - dem einzigen Mitarbeiter der Gesellschaft - ausbezahlten LÃ¶hne (Urk. 7/6, Urk. 7/10, Urk. 7/37) blieben geschuldete BeitrÃ¤ge unbezahlt. Dadurch hat die Y.___ GmbH die ihr obliegenden gesetzlichen Beitragszahlungspflichten gemÃ¤ss Art. 34 AHVV und damit Vorschriften im Sinne von Art. 52 AHVG verletzt, weshalb die Haftungsvoraussetzung der Widerrechtlichkeit rechtsprechungsgemÃ¤ss zu bejahen ist.</w:t>
      </w:r>
    </w:p>
    <w:p>
      <w:r>
        <w:rPr>
          <w:b/>
        </w:rPr>
        <w:t>E. 4</w:t>
      </w:r>
    </w:p>
    <w:p>
      <w:r>
        <w:t>4.1Â Â Â Â  Zu prÃ¼fen bleibt, ob der Schaden der Beschwerdegegnerin auf ein qualifiziert schuldhaftes Verhalten des BeschwerdefÃ¼hrers zurÃ¼ckzufÃ¼hren ist.</w:t>
      </w:r>
    </w:p>
    <w:p>
      <w:r>
        <w:t>4.2Â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4.3Â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4.4Â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Organe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S. 528; 114 V 213; vgl. auch BGE 129 V 11). Die Organstellung endet mit der tatsÃ¤chlichen Beendigung des Mandates oder dem Ausscheiden aus der Firma und nicht etwa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 5; BGE 134 V 401 E. 5.1).</w:t>
      </w:r>
    </w:p>
    <w:p>
      <w:r>
        <w:t>4.5Â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4.6Â Â Â Â  Dem BeschwerdefÃ¼hrer, welcher von der GrÃ¼ndung bis zur AuflÃ¶sung der Y.___ GmbH GeschÃ¤ftsfÃ¼hrer und Gesellschafter mit Einzelzeichnungsberechtigung war (Urk. 7/1, Urk. 7/25), kommt formelle Organeigenschaft zu. Darauf ist fÃ¼r die Bejahung der subsidiÃ¤ren Haftbarkeit (Passivlegitimation nach Art. 52 AHVG) abzustellen (BGE 123 V 12 E. 5b mit Hinweisen).</w:t>
      </w:r>
    </w:p>
    <w:p>
      <w:r>
        <w:t>4.7Â Â Â Â  Als GeschÃ¤ftsfÃ¼hrer einer GmbH oblagen dem BeschwerdefÃ¼hrer gemÃ¤ss Art. 810 Abs. 2 des Obligationenrechts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Finanzplanung, sofern diese fÃ¼r die FÃ¼hrung der Gesellschaft notwendig ist;</w:t>
      </w:r>
    </w:p>
    <w:p>
      <w:r>
        <w:t>Â Â Â Â Â Â Â Â  4. Â  die Aufsicht Ã¼ber die Personen, denen Teile der GeschÃ¤ftsfÃ¼hrung Ã¼bertra-Â Â  gen sind, namentlich im Hinblick auf die Befolgung der Gesetze, Statuten, Â Â Â Â  Reglemente und Weisungen.</w:t>
      </w:r>
    </w:p>
    <w:p>
      <w:r>
        <w:t>Â Â Â Â Â Â Â Â  Als GeschÃ¤ftsfÃ¼hrer der Gesellschaft war der BeschwerdefÃ¼hrer insbesondere verpflichtet, dafÃ¼r besorgt zu sein, die Beitragspflicht gegenÃ¼ber der Ausgleichskasse zu erfÃ¼llen. PraxisgemÃ¤ss sind angesichts der einfachen Organisationsstruktur der Y.___ GmbH an die dem BeschwerdefÃ¼hrer als GeschÃ¤ftsfÃ¼hrer obliegenden Sorgfaltspflichten hohe Anforderungen zu stellen (BGE 108 V 199 E. 3b). Der BeschwerdefÃ¼hrer, welcher Kenntnis der BeitragsausstÃ¤nde der Gesellschaft hatte (Urk. 7/19), hat nichts unternommen, um die BeitragsausstÃ¤nde zu begleichen. Vielmehr hat er sich weiterhin einen Lohn auszahlen lassen. Daran Ã¤ndert nichts, dass die Gesellschaft, wie der BeschwerdefÃ¼hrer vorbringt (Urk. 1 S. 2), bei jeder Lohnzahlung die ArbeitnehmerbeitrÃ¤ge in Abzug gebracht hat. Denn entscheidend ist, dass die BeitragsausstÃ¤nde nicht beglichen wurden. Dadurch ist der BeschwerdefÃ¼hrer den ihm obliegenden Pflichten bei ErfÃ¼llung der Beitragspflicht nicht nachgekommen. Eine Verletzung dieser Pflichten ist als grobfahrlÃ¤ssig zu werten, sodass der BeschwerdefÃ¼hrer fÃ¼r den der Ausgleichskasse entstandenen Schaden einzustehen hat, sofern keine Rechtfertigungs- oder ExkulpationsgrÃ¼nde vorliegen (vgl. Urteil des Bundesgerichts H 63/05 vom 25. Mai 2007 E. 6.4).</w:t>
      </w:r>
    </w:p>
    <w:p>
      <w:r>
        <w:rPr>
          <w:b/>
        </w:rPr>
        <w:t>E. 5</w:t>
      </w:r>
    </w:p>
    <w:p>
      <w:r>
        <w:t>5.1Â Â Â Â  Zu prÃ¼fen bleibt, ob haftungsausschliessende Rechtfertigungs- und ExkulpationsgrÃ¼nde vorliegen (vgl. BGE 108 V 183).</w:t>
      </w:r>
    </w:p>
    <w:p>
      <w:r>
        <w:t>5.2Â Â Â Â Â Â Â Â Â Â Â Â Â</w:t>
      </w:r>
    </w:p>
    <w:p>
      <w:r>
        <w:t>5.2.1Â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243 E. 4b mit Hinweisen). Die Rechtsprechung hat erkannt, dass ein Beitragsausstand von zwei bis drei Monaten Dauer als in diesem Sinne kurz zu werten ist, wobei aber immer eine WÃ¼rdigung sÃ¤mtlicher konkreter UmstÃ¤nde des Einzelfalles Platz zu greifen hat (BGE 124 V 253, 121 V 243 E. 4b mit Hinweis; 108 V 183 E. 1b; 108 V 199 E. 1; Urteile des Bundesgerichts H 141/01 vom 8. Juli 2003 E. 3.3 und H 307/03 vom 25. Mai 2004 E. 3).</w:t>
      </w:r>
    </w:p>
    <w:p>
      <w:r>
        <w:t>5.2.2Â Â  Vorliegend steht bereits die lange Dauer des Normverstosses der Annahme entlastender Momente entgegen. Aus den Akten ist ersichtlich, dass die Y.___ GmbH seit dem 1. Januar 2006 (Urk. 7/7) verzugszinspflichtig wurde und ab dem 19. Juni 2006 (Urk. 7/8) wiederholt fÃ¼r die Entrichtung der geschuldeten LohnbeitrÃ¤ge gemahnt und betrieben werden musste. Von einem kurzfristigen Verstoss gegen die Beitragsvorschriften kann demnach nicht gesprochen werden. Der Exkulpationsgrund der kurzen Dauer des Beitragsausstandes ist denn auch nur auf FÃ¤lle anzuwenden, in denen die Zahlungsmoral der Gesellschaft mit Ausnahme von zwei oder drei Monaten immer klaglos war (Urteile des Bundesgerichts H 438/00 vom 13. Februar 2002 E. 4b/bb und H 44/01 vom 16. Mai 2002 E. 5b).</w:t>
      </w:r>
    </w:p>
    <w:p>
      <w:r>
        <w:rPr>
          <w:b/>
        </w:rPr>
        <w:t>E. 5.3</w:t>
      </w:r>
    </w:p>
    <w:p>
      <w:r>
        <w:t>5.3.1Â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183, bestÃ¤tigt in BGE 121 V 243; Urteile des Bundesgerichts H 394/01 vom 19. November 2003 E. 6.2.3 und H 101/01 vom 19. Dezember 2003 E. 4.2).</w:t>
      </w:r>
    </w:p>
    <w:p>
      <w:r>
        <w:t>5.3.2Â Â  Die Vorbringen des BeschwerdefÃ¼hrers, wonach er auf Grund objektiver UmstÃ¤nde und einer seriÃ¶sen Beurteilung der Lage habe damit rechnen kÃ¶nnen, mit der Entscheidung, nur die absolut notwendigen Zahlungen zu leisten, ein Fortbestehen der Gesellschaft zu ermÃ¶glichen (Urk. 1 S. 7), finden in den Akten keine StÃ¼tze. Konkrete Rettungs- oder SanierungsbemÃ¼hungen lassen sich den Akten nicht entnehmen.</w:t>
      </w:r>
    </w:p>
    <w:p>
      <w:r>
        <w:t>5.3.3Â Â  Vielmehr geht aus den Akten hervor, dass die Y.___ GmbH der Beschwerdegegnerin am 16. August 2007 mitteilte, dass sie von einem GeschÃ¤ftspartner keine Akontozahlungen fÃ¼r ein geschuldetes MÃ¤klerhonorar erhalten habe, und dass sie ein Schlichtungsverfahren vor dem Schiedsgericht der Immobilienbranche eingeleitet habe. Aus diesem Grunde fehle es der Gesellschaft seit Mai 2007 an LiquiditÃ¤t (Urk. 6/19). Anschliessend teilte die Gesellschaft der Beschwerdegegnerin am 12. September 2007 mit, dass sie wegen ausstehender Debitorenzahlungen und schlechtem GeschÃ¤ftsgang keine LiquiditÃ¤t habe, um offene Rechnungen zu bezahlen (Urk. 6/23). Auf Grund der Akten ist demnach davon auszugehen, dass die Gesellschaft wÃ¤hrend einer lÃ¤ngeren Zeit unter finanziellen Problemen litt. Die Ursachen der finanziellen Schwierigkeiten der Gesellschaft sind fÃ¼r die vorliegend im Streite stehende Frage indes von untergeordneter Bedeutung. Denn es kommt rechtsprechungsgemÃ¤ss der Grundsatz zum Tragen, dass gerade in wirtschaftlich schwierigen VerhÃ¤ltnissen nur so viel Lohn ausbezahlt werden darf, als die darauf unmittelbar ex lege entstandenen Beitragsforderungen gedeckt sind (Urteile des Bundesgerichts H 295/02 vom 2. Dezember 2003 E. 5.2.3; H 19/01 vom 26. September 2001 E. 3 und H 324/99 vom 23. Juni 2000 E. 4b). Eine Exkulpation wegen SanierungsbemÃ¼hungen fÃ¤llt vorliegend daher ausser Betracht.</w:t>
      </w:r>
    </w:p>
    <w:p>
      <w:r>
        <w:t>6.Â Â Â Â Â Â  Demnach steht fest, dass sich der BeschwerdefÃ¼hrer nicht in genÃ¼gendem Masse um die ihm als ehemaligem geschÃ¤ftsfÃ¼hrendem Gesellschafter der GmbH obliegenden Pflichten und Aufgaben gekÃ¼mmert hat, und dass er insbesondere den ihm obliegenden Sorgfaltspflichten in Bezug auf die Bezahlung der von der Gesellschaft geschuldeten SozialversicherungsbeitrÃ¤ge nicht nachgekommen ist. Mangels Rechtfertigungs- oder ExkulpationsgrÃ¼nden ist sein Verhalten in Anbetracht der gesamten UmstÃ¤nde als grobfahrlÃ¤ssig zu qualifizieren, und es ist von einem haftungsbegrÃ¼ndenden qualifizierten Verschulden auszugehen.</w:t>
      </w:r>
    </w:p>
    <w:p>
      <w:r>
        <w:t>7.Â Â Â Â Â Â</w:t>
      </w:r>
    </w:p>
    <w:p>
      <w:r>
        <w:t>7.1Â Â Â Â  Schliesslich setzt die Schadenersatzpflicht des Arbeitgebers nach Art. 52 AHVG voraus, dass zwischen der absichtlichen und grobfahrlÃ¤ssigen Missachtung von Vorschriften und dem eingetretenen Schaden ein adÃ¤quater Kausalzusammenhang gegeben ist (BGE 119 V 406 E. 4a mit Hinweisen auf Lehre, 103 V 123 E. 4). Ein Ereignis hat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401 E. 4a mit Hinweisen).</w:t>
      </w:r>
    </w:p>
    <w:p>
      <w:r>
        <w:t>7.2Â Â Â Â  Nach der Rechtsprechung kann der Kausalzusammenhang durch grobes Drittverschulden nur in ausgesprochenen AusnahmefÃ¤llen unterbrochen werden, wenn das Verschulden des Dritten dermassen schwer wiegt, dass das eigene Verschulden eindeutig in den Hintergrund tritt und damit nicht mehr als adÃ¤quate Schadensursache erscheint (SVR 2008 AHV Nr. 5 S. 13, Urteile des Bundesgerichts H 207/06 vom 19. Juli 2007 E. 4.2.2 und H 95/05 vom 10. Januar 2007 E. 5-6; Marco Reichmuth, Die Haftung des Arbeitgebers und seiner Organe nach Art. 52 AHVG, ZÃ¼rich 2008, Rz. 792 ff.)</w:t>
      </w:r>
    </w:p>
    <w:p>
      <w:r>
        <w:t>7.3Â Â Â Â  Hinweise fÃ¼r ein grobes Drittverschulden lassen sich den Akten nicht entnehmen. Dem BeschwerdefÃ¼hrer ist insbesondere nicht zu folgen, wenn er geltend macht, dass die Beschwerdegegnerin dadurch, dass sie die Y.___ GmbH am 20. August 2007 fÃ¼r die Entrichtung der ausstehenden BeitrÃ¤ge gemahnt und am 23. August 2007 gegen die Gesellschaft die Betreibung eingeleitet habe, den Schaden verschlimmert und dadurch teilweise selbst verschuldet habe (Urk. 1 S. 7 f.). GemÃ¤ss Art. 34a Abs. 1 AHVV sind Beitragspflichtige, die innert der vorgeschriebenen Frist die BeitrÃ¤ge nicht bezahlen oder die LohnbeitrÃ¤ge nicht abrechnen, von der Ausgleichskasse unverzÃ¼glich schriftlich zu mahnen. Aus den Akten ist ersichtlich, dass die Beschwerdegegnerin in Nachachtung dieser Vorschrift die Gesellschaft zur Bezahlung der ausstehenden BeitrÃ¤ge fÃ¼r das Jahr 2006 erstmals am 21. Mai 2007 (Urk. 6/15) und ein zweites Mal am 18. Juni 2007 (Urk. 6/17) mahnte und anschliessend am 22. August 2007 die Betreibung einleitete (Urk. 6/20). Des Gleichen hat die Beschwerdegegnerin in Ãbereinstimmung mit Art. 34a Abs. 1 AHVV die Gesellschaft am 20. August zur Bezahlung der fÃ¼r die Zeit vom 1. Januar bis 30. Juni 2007 geschuldeten BeitrÃ¤ge gemahnt (Urk. 6/18) und fÃ¼r diese Forderung am 23. Januar 2008 die Betreibung eingeleitet (Urk. 6/29). Von einem erheblichen Selbstverschulden der Beschwerdegegnerin bei der Verursachung des Schadens kann daher nicht die Rede sein.</w:t>
      </w:r>
    </w:p>
    <w:p>
      <w:r>
        <w:t>7.4Â Â Â Â  Mangels konkreter Anhaltspunkte fÃ¼r eine Unterbrechung des Kausalzusammenhangs ist ein adÃ¤quater Kausalzusammenhang der vom BeschwerdefÃ¼hrer zu vertretenen Missachtung von Sorgfaltspflichten bei ErfÃ¼llung der Beitragspflicht und dem Schaden der Beschwerdegegnerin zu bejahen.</w:t>
      </w:r>
    </w:p>
    <w:p>
      <w:r>
        <w:t>8.Â Â Â Â Â Â  Nach Gesagtem steht fest, dass der BeschwerdefÃ¼hrer als einzeln Haftender fÃ¼r den der Beschwerdegegnerin entstandenen Schaden im Betrag von Fr. 31Â880.30 ersatzpflichtig ist, weshalb die gegen den angefochtenen Einspracheentscheid vom 18. April 2010 (Urk. 2)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