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AK.2010.00031 vom 8. November 2011</w:t>
      </w:r>
    </w:p>
    <w:p>
      <w:r>
        <w:t>ZH Sozialversicherungsgericht, 2011-11-08, DE</w:t>
      </w:r>
    </w:p>
    <w:p>
      <w:r>
        <w:rPr>
          <w:b/>
        </w:rPr>
        <w:t xml:space="preserve">Quelle: </w:t>
      </w:r>
      <w:r>
        <w:t>https://mcp.opencaselaw.ch/entscheid/zh_sozialversicherungsgericht_AK.2010.00031</w:t>
      </w:r>
    </w:p>
    <w:p>
      <w:r>
        <w:t>FR: ZH_SOZIALVERSICHERUNGSGERICHT AK.2010.00031 du 8 novembre 2011</w:t>
      </w:r>
    </w:p>
    <w:p>
      <w:r>
        <w:t>IT: ZH_SOZIALVERSICHERUNGSGERICHT AK.2010.00031 del 8 novembre 2011</w:t>
      </w:r>
    </w:p>
    <w:p>
      <w:pPr>
        <w:pStyle w:val="Heading2"/>
      </w:pPr>
      <w:r>
        <w:t>Erwägungen</w:t>
      </w:r>
    </w:p>
    <w:p>
      <w:r>
        <w:rPr>
          <w:b/>
        </w:rPr>
        <w:t>E. 1</w:t>
      </w:r>
    </w:p>
    <w:p>
      <w:r>
        <w:t>1.1Â Â Â Â  Nach Art. 52 Abs. 1 des Bundesgesetzes Ã¼ber die Alters- und Hinterlassenenversicherung (AHVG) hat ein Arbeitgeber, der durch absichtliche oder grobfahrlÃ¤ssige Missachtung von Vorschriften einen Schaden verschuldet, diesen der Ausgleichskasse zu ersetzen. Ist der Arbeitgeber eine juristische Person, so kÃ¶nnen subsidiÃ¤r gegebenenfalls die verantwortlichen Organe in Anspruch genommen werden (BGE 123 V 12 E. 5b S. 15; vgl. BGE 132 III 523 E. 4.5 S. 528). Haben mehrere Arbeitgeber oder mehrere Organe einer juristischen Person einen Schaden verursacht, haften sie solidarisch (BGE 114 V 213 E. 3 mit Hinweisen).</w:t>
      </w:r>
    </w:p>
    <w:p>
      <w:r>
        <w:t>1.2Â Â Â Â  Die Vorschriften Ã¼ber die Arbeitgeberhaftung nach Art. 52 AHVG sowie die dazu entwickelte Rechtsprechung des Bundesgerichts finden mangels eigener Bestimmungen sinngemÃ¤ss Anwendung auf die Invalidenversicherungs- (Art. 66 des Bundesgesetzes Ã¼ber die Invalidenversicherung), Erwerbsersatzordnungs- (Art. 21 Abs. 2 des Bundesgesetzes Ã¼ber die Erwerbsersatzordnung fÃ¼r Dienstleistende in Armee, Zivildienst und Zivilschutz) sowie auf die kantonalrechtlichen BeitrÃ¤ge fÃ¼r die Familienausgleichskasse (Â§ 33 Abs. 2 des Gesetzes Ã¼ber Kinderzulagen fÃ¼r Arbeitnehmer in der bis Ende 2007 gÃ¼ltig gewesenen Fassung bzw. Â§ 33 des ab 1. Januar 2008 geltenden Kinderzulagengesetzes; nicht publiziertes Urteil des Bundesgerichts 2P.251/1996 vom 30. Juni 1997). Ferner haften die Arbeitgeber und ihre Organe auch fÃ¼r entgangene BeitrÃ¤ge an die Arbeitslosenversicherung (Art. 6 des Bundesgesetzes Ã¼ber die obligatorische Arbeitslosenversicherung und die InsolvenzentschÃ¤digung; BGE 113 V 186).</w:t>
      </w:r>
    </w:p>
    <w:p>
      <w:r>
        <w:t>1.3Â Â Â Â Â Â Â Â  Voraussetzung fÃ¼r eine Haftung nach Art. 52 AHVG ist zunÃ¤chst das Vorliegen eines Schadens. Dieser besteht darin, dass der AHV ein ihr gesetzlich geschuldeter Beitrag entgeht. Die HÃ¶he des Schadens entspricht dabei dem Betrag, dessen die Kasse verlustig geht (Thomas Nussbaumer, Die Ausgleichskasse als Partei im Schadenersatzprozess nach Artikel 52 AHVG, ZAK 1991 S. 383 ff. und 433 ff.). Verwaltungs- und Betreibungskosten, Veranlagungs- und MahngebÃ¼hren sowie die Verzugszinsen bilden Bestandteil des Schadens, welcher der Ausgleichskasse zu ersetzen ist (BGE 121 III 382 E. 3bb; vgl. auch BGE 109 V 95 oben, 108 V 189 E. 5). Im Hinblick auf die in Art. 14 Abs. 1 AHVG normierte Beitrags- und Abrechnungspflicht des Arbeitgebers gehÃ¶ren auch die ArbeitgeberbeitrÃ¤ge zum massgeblichen Schaden (BGE 98 V 26 E. 5).</w:t>
      </w:r>
    </w:p>
    <w:p>
      <w:r>
        <w:t>1.4Â Â Â Â  Der Schadenersatzprozess gemÃ¤ss Art. 52 AHVG ist vom Untersuchungsgrundsatz beherrscht, welcher besagt, dass der Richter von Amtes wegen fÃ¼r die richtige und vollstÃ¤ndige AbklÃ¤rung des rechtserheblichen Sachverhaltes zu sorgen hat (BGE 108 V 197 Erw. 5). Der Untersuchungsgrundsatz gilt aber nicht uneingeschrÃ¤nkt, sondern wird durch die verschiedenen Mitwirkungspflichten der Parteien ergÃ¤nzt (BGE 100 V 158 Erw. 1a mit Hinweisen). Dazu gehÃ¶rt auch die Substanziierungspflicht, welche besagt, dass die wesentlichen Tatsachenbehauptungen und -bestreitungen in den Rechtsschriften enthalten sein mÃ¼ssen (Gygi, Bundesverwaltungsrechtspflege, 2. Auflage, Bern 1983, S. 208).</w:t>
      </w:r>
    </w:p>
    <w:p>
      <w:r>
        <w:t>Â Â Â Â Â Â Â Â  FÃ¼r die Ausgleichskasse bedeutet dies, die Schadenersatzforderung soweit zu substanziieren, dass sie Ã¼berprÃ¼ft werden kann. Dabei sind zwei Aspekte zu unterscheiden. Einerseits hat die Ausgleichskasse den eingeklagten Forderungsbetrag zeitlich und masslich zu spezifizieren, also gestÃ¼tzt auf eine BeitragsÃ¼bersicht zu behaupten, wie sich der eingeklagte Betrag zusammensetzt. Mit Blick auf das VerhÃ¤ltnis zwischen Untersuchungsgrundsatz und Mitwirkungspflicht genÃ¼gt ein blosser Verweis in der Klage auf die BeitragsÃ¼bersicht nur bei Evidenz, wenn also der Gesamtbetrag ohne weiteres aus der beigelegten BeitragsÃ¼bersicht ersichtlich ist. Ist indessen nicht offensichtlich erkennbar, wie sich der Forderungsbetrag zusammensetzt, sei es wegen widersprÃ¼chlicher Saldi, unterschiedlich datierter Buchungen, schwankender BeitrÃ¤ge, Stornierungen oder Verrechnungen (z.B. mit FAK-Guthaben), ist es nicht Sache des angerufenen Gerichtes, selbst in EDV-Ausdrucken und Abrechnungen nach denjenigen Positionen zu forschen, welche fÃ¼r die SchadenshÃ¶he von Belang sind, und zu eruieren, wie der Forderungsbetrag doch ermittelt werden kÃ¶nnte. Vielmehr hat die Ausgleichskasse im Rahmen ihrer Mitwirkungspflicht durch erlÃ¤uternde Bezugnahme auf die BeitragsÃ¼bersicht und andere von ihr eingereichte Akten darzutun, wie und gestÃ¼tzt worauf sie den Forderungsbetrag ermittelt hat.</w:t>
      </w:r>
    </w:p>
    <w:p>
      <w:r>
        <w:t>Â Â Â Â Â Â Â Â  Andererseits gehÃ¶rt zur Substanziierungspflicht auch, den eingeklagten Forderungsbetrag oder Teile davon zu belegen, also durch Einreichung von Lohnabrechnungen, Nachzahlungs- oder VeranlagungsverfÃ¼gungen die in der BeitragsÃ¼bersicht enthaltenen ZahlungsvorgÃ¤nge zu beweisen. Dies ist allerdings nur erforderlich, wenn die Forderung in der kantonalen Klageantwort masslich mit konkreten, nicht ohne Weiteres widerlegbaren Einwendungen bestritten wird oder sich auf Grund der Akten greifbare Anhaltspunkte fÃ¼r Unrichtigkeiten ergeben (Urteil des EidgenÃ¶ssischen Versicherungsgerichts in Sachen S. vom 13. Februar 2002, H301/00, E. 2c).</w:t>
      </w:r>
    </w:p>
    <w:p>
      <w:r>
        <w:rPr>
          <w:b/>
        </w:rPr>
        <w:t>E. 2</w:t>
      </w:r>
    </w:p>
    <w:p>
      <w:r>
        <w:t>2.1Â Â Â Â  Der BeschwerdefÃ¼hrer wiederholt im Wesentlichen die bereits in der Einsprache vorgebrachten RÃ¼ge, dass die HÃ¶he des geforderten Schadenersatzes nicht nachvollzogen werden kÃ¶nne. Die Forderungen der AHV und der beruflichen Vorsorge seien nicht getrennt aufgelistet, sondern wild vermischt worden, so dass die Berechnung der SchadenshÃ¶he nicht nachvollziehbar sei. Ãberdies stÃ¼tze sich die geltend gemachte Forderung auf falsche Berechnungen (Urk. 1).</w:t>
      </w:r>
    </w:p>
    <w:p>
      <w:r>
        <w:rPr>
          <w:b/>
        </w:rPr>
        <w:t>E. 2.2</w:t>
      </w:r>
    </w:p>
    <w:p>
      <w:r>
        <w:t>Â Â Â Â Â Â Â Â Dagegen wendet die Beschwerdegegnerin ein, damit der BeschwerdefÃ¼hrer die Aufteilung der Forderungen in solche der AHV und solche der beruflichen Vorsorge nachvollziehen kÃ¶nne, habe sie ihm mit Schreiben vom 16. Dezember 2009 die Abrechnungen der BeitrÃ¤ge an die berufliche Vorsorge gesandt und ihm zum VerstÃ¤ndnis des Kontoauszuges auch eine telefonische oder persÃ¶nliche Besprechung angeboten. Entsprechend dem vom BeschwerdefÃ¼hrer geÃ¤usserten Wunsch seien ihm in der Folge am 22. MÃ¤rz 2010 nochmals verschiedene KontoauszÃ¼ge und Abrechnungsunterlagen zugestellt worden, insbesondere auch die Jahresabrechnung fÃ¼r LohnbeitrÃ¤ge 2007 vom 12. Februar 2008 (Urk. 2).</w:t>
      </w:r>
    </w:p>
    <w:p>
      <w:r>
        <w:rPr>
          <w:b/>
        </w:rPr>
        <w:t>E. 3</w:t>
      </w:r>
    </w:p>
    <w:p>
      <w:r>
        <w:t>3.1Â Â Â Â  Wie oben dargelegt (E. 1.4) wurde, genÃ¼gt nach der hÃ¶chstrichterlichen Rechtsprechung zur Substanziierung der Schadenersatzforderung in masslicher Hinsicht ein Verweis auf die Akten (insbesondere auf die BeitragsÃ¼bersicht und den Kontoauszug) nur bei ÂEvidenzÂ. Falls der Schadensbetrag nicht ohne Weiteres aus den Akten hervorgeht, also eben nicht offensichtlich ist, obliegt es den Ausgleichskassen (insbesondere wenn das Quantitativ der Forderung in Zweifel gezogen wurde), ihre Forderung im Einzelnen zu substanziieren. Mit anderen Worten mÃ¼ssen dann die Ausgleichskassen die einzelnen Positionen der geltend gemachten Schadenersatzforderung behaupten und (im Bestreitungsfall) belegen.</w:t>
      </w:r>
    </w:p>
    <w:p>
      <w:r>
        <w:t>3.2Â Â Â Â  Im vorliegenden Fall kann von Evidenz nicht die Rede sein. Aus dem Kontoauszug der Beschwerdegegnerin (Urk.6/1) geht zwar hervor, welche BeitrÃ¤ge der Gesellschaft seit 11. April 2003 in Rechnung gestellt worden sind. Wie sich diese im Einzelnen zusammensetzen, lÃ¤sst sich jedoch weder nachvollziehen noch Ã¼berprÃ¼fen. Insbesondere sind im Kontoauszug auch die BeitrÃ¤ge an die berufliche Vorsorge aufgefÃ¼hrt, und die von der Arbeitgeberin gemachten Zahlungen lassen sich - zumindest seit dem Jahr 2007 - nicht den fakturierten BetrÃ¤gen zuordnen (vgl. beispielsweise Einzahlung ESR vom 13. Februar 2007 fÃ¼r Periode 07.04-11.06), so dass nicht eruiert werden kann, welche BeitrÃ¤ge bezahlt worden und welche unbezahlt geblieben sind. Bezeichnenderweise hat denn auch die Beschwerdegegnerin dem BeschwerdefÃ¼hrer angeboten, die Aufzeichnungen im Kontoauszug mÃ¼ndlich zu erklÃ¤ren (vgl. Urk. 2).</w:t>
      </w:r>
    </w:p>
    <w:p>
      <w:r>
        <w:t>Â Â Â Â Â Â Â Â  Zur besseren VerstÃ¤ndlichkeit tragen aber auch die eingereichten Abrechnungen (Urk. 6/4) oder die Jahresabrechnung fÃ¼r LohnbeitrÃ¤ge (Ausgleich) 2007 (Urk. 6/7) nichts bei. Diesen kann zwar entnommen werden, welche BeitrÃ¤ge fakturiert worden sind, sie enthalten aber keine Aussagen darÃ¼ber, auf welcher Grundlage diese erhoben und welche Zahlungen geleistet worden sind. DarÃ¼ber hinaus enthalten auch sie BeitrÃ¤ge an die berufliche Vorsorge. Eine Ausgleichsabrechnung fÃ¼r das Jahr 2008 ist in den Akten nicht enthalten.</w:t>
      </w:r>
    </w:p>
    <w:p>
      <w:r>
        <w:t>Â Â Â Â Â Â Â Â  Die streitgegenstÃ¤ndliche Forderung kann damit aufgrund der vorliegenden Akten betragsmÃ¤ssig nicht Ã¼berprÃ¼ft werden. Demzufolge kann auch die Frage nach dem vorauszusetzenden qualifizierten Verschulden nicht beurteilt werden. Deshalb erweist sich die Sache als nicht spruchreif.</w:t>
      </w:r>
    </w:p>
    <w:p>
      <w:r>
        <w:t>3.3Â Â Â Â  Nach dem Dargelegten ist die Sache unter Aufhebung des angefochtenen Einspracheentscheids vom 13. August 2010 (Urk. 2) an die Beschwerdegegnerin zurÃ¼ckzuweisen, damit sie die gegen den BeschwerdefÃ¼hrer geltend gemachte Schadenersatzforderung substanziiere. Hierzu wird sie eine nachvollziehbare und Ã¼bersichtliche Aufstellung erstellen mÃ¼ssen, aus der im Detail hervorgeht, welche paritÃ¤tischen und FAK-BeitrÃ¤ge aufgrund welcher Lohnsummen in welchen ZeitrÃ¤umen von der A.___ AG geschuldet waren, welche diesen BeitrÃ¤gen anzurechnende Zahlungen diese zu welchen Zeitpunkten leistete, welche BetrÃ¤ge (etwa mit ausgerichteten Kinderzulagen) verrechnet wurden, welche BetrÃ¤ge noch offen sind und wie sich die geltend gemachten Nebenkosten (insbesondere Zinsen) im Einzelnen berechnen (Zinsberechnung mit Daten, BetrÃ¤gen und ZeitrÃ¤umen). Im Weiteren ist jede geltend gemachte Position (namentlich soweit sie vom BeschwerdefÃ¼hrer substanziiert bestritten werden sollte) zu belegen, wobei die Belege (etwa Meldungen der Gesellschaft Ã¼ber die ausgerichteten Jahreslohnsummen, Rechnungen, Mahnungen, Belege Ã¼ber ZahlungseingÃ¤nge und dergleichen) geordnet anzufÃ¼gen und den einzelnen (Schadens-) Positionen zuzuordnen sind. Anschliessend wird die Beschwerdegegnerin neu zu verfÃ¼gen haben.</w:t>
      </w:r>
    </w:p>
    <w:p>
      <w:r>
        <w:t>4.Â Â Â Â Â Â Â Â  AusgangsgemÃ¤ss hat der BeschwerdefÃ¼hrer Anspruch auf eine ProzessentschÃ¤digung. Diese ist ohne RÃ¼cksicht auf den Streitwert nach der Bedeutung der Streitsache, der Schwierigkeit des Prozesses und dem Mass des Obsiegens zu bemessen (Â§ 34 Abs. 3 GSVGer). Unter BerÃ¼cksichtigung der massgeblichen Kriterien erscheint die Zusprache einer ProzessentschÃ¤digung von Fr. 300.-- (inkl. Barauslagen und MWSt) als angemessen.</w:t>
      </w:r>
    </w:p>
    <w:p>
      <w:r>
        <w:t>Das Gericht erkennt:</w:t>
      </w:r>
    </w:p>
    <w:p>
      <w:r>
        <w:t>1.Â Â Â Â Â Â Â Â  Die Beschwerde wird in dem Sinne gutgeheissen, als der angefochtene Einspracheentscheid vom 13. August 2010 aufgehoben und die Sache an die Beschwerdegegnerin zurÃ¼ckgewiesen wird, damit sie nach erfolgter Substanziierung des Schadensbetrages im Sinne der ErwÃ¤gungen Ã¼ber die Schadenersatzforderung neu entscheide.</w:t>
      </w:r>
    </w:p>
    <w:p>
      <w:r>
        <w:t>2.Â Â Â Â Â Â Â Â  Das Verfahren ist kostenlos.</w:t>
      </w:r>
    </w:p>
    <w:p>
      <w:r>
        <w:t>3.Â Â Â Â Â Â Â Â  Die Beschwerdegegnerin wird verpflichtet, dem BeschwerdefÃ¼hrer eine ProzessentschÃ¤digung von Fr. 300.-- (inkl. Barauslagen und MWSt) zu bezahlen.</w:t>
      </w:r>
    </w:p>
    <w:p>
      <w:r>
        <w:t>4.Â Â Â Â Â Â Â Â Â Â  Zustellung gegen Empfangsschein an:</w:t>
      </w:r>
    </w:p>
    <w:p>
      <w:r>
        <w:t>- JÃ¼rg Girschweiler</w:t>
      </w:r>
    </w:p>
    <w:p>
      <w:r>
        <w:t>- Ausgleichskasse PROMEA</w:t>
      </w:r>
    </w:p>
    <w:p>
      <w:r>
        <w:t>- Bundesamt fÃ¼r Sozialversicherungen</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