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AK.2010.00030 vom 29. September 2011</w:t>
      </w:r>
    </w:p>
    <w:p>
      <w:r>
        <w:t>ZH Sozialversicherungsgericht, 2011-09-29, DE</w:t>
      </w:r>
    </w:p>
    <w:p>
      <w:r>
        <w:rPr>
          <w:b/>
        </w:rPr>
        <w:t xml:space="preserve">Quelle: </w:t>
      </w:r>
      <w:r>
        <w:t>https://mcp.opencaselaw.ch/entscheid/zh_sozialversicherungsgericht_AK.2010.00030</w:t>
      </w:r>
    </w:p>
    <w:p>
      <w:r>
        <w:t>FR: ZH_SOZIALVERSICHERUNGSGERICHT AK.2010.00030 du 29 septembre 2011</w:t>
      </w:r>
    </w:p>
    <w:p>
      <w:r>
        <w:t>IT: ZH_SOZIALVERSICHERUNGSGERICHT AK.2010.00030 del 29 settembre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213 E. 3 mit Hinweisen).</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Bundesgerichts 2P.251/1996 vom 30. Juni 1997). Ferner haften die Arbeitgeber und ihre Organe auch fÃ¼r entgangene BeitrÃ¤ge an die Arbeitslosenversicherung (Art. 6 des Bundesgesetzes Ã¼ber die obligatorische Arbeitslosenversicherung und die InsolvenzentschÃ¤digung; BGE 113 V 186).</w:t>
      </w:r>
    </w:p>
    <w:p>
      <w:r>
        <w:t>1.2Â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1.3Â Â Â Â  Die Arbeitgeberin zahlte im Jahr 2008 LÃ¶hne von insgesamt Fr. 825'842.-- aus (Urk. 7/70). Hierauf sind BeitrÃ¤ge an die AHV/IV/EO von Fr. 83'410.05 (10,1 % x Fr. 825'842.--), die ALV von Fr. 16'516.85 (2,0 % x 825'842.--) und an die Familienausgleichskasse von Fr. 10'735.95 (1,3 % x Fr. 825'842.--) abzuliefern. Hinzu kommen Verwaltungskosten von Fr. 2'502.30 (3 % x Fr. 83'410.05). Die BeitrÃ¤ge fÃ¼r das Jahr 2008 inklusive Verwaltungskosten betrugen demnach Fr. 113'165.15. Hiervon abzuziehen sind die von der Konkursitin geleisteten Familienzulagen im Betrag von Fr. 8'500.-- (Urk. 7/90 S. 3). Insgesamt hÃ¤tte die Konkursitin im Jahr 2008 somit bundes- und kantonalrechtliche BeitrÃ¤ge inklusive Verwaltungskosten von Fr. 104'665.15 zu bezahlen gehabt.</w:t>
      </w:r>
    </w:p>
    <w:p>
      <w:r>
        <w:t>Â Â Â Â Â Â Â Â  Im Jahr 2008 wurden der Konkursitin MahngebÃ¼hren von Fr. 120.-- (Urk. 7/90 S. 2) und Verzugszinsen von Fr. 570.65 (Urk. 7/90 S. 2) in Rechnung gestellt. Damit schuldete die Konkursitin fÃ¼r das Jahr 2008 Fr. 105'355.80. Insgesamt leistete sie im Jahr 2008 Zahlungen in der HÃ¶he von Fr. 72'119.95, wobei die am 14. Januar 2008 bei der Beschwerdegegnerin eingetroffenen Fr. 10'779.60 BeitrÃ¤ge des Jahres 2007 (vgl. Urk. 7/90 Pos. 2007/0020 i.V.m. Pos. 2007/0000 und 2007/0022) und die am 7. Februar 2008 eingetroffenen Fr. 94.70 im Jahr 2007 in Rechnung gestellte Verzugszinsen (vgl. Urk. 7/91 Pos. 2007/0024) betrafen. Damit leistete die Arbeitgeberin Fr. 61'245.65 an die fÃ¼r das Jahr 2008 geschuldeten BeitrÃ¤ge inklusive erhobene Mahnkosten und Verzugszinsen, und es blieben Fr. 44'110.15 unbezahlt. Allerdings leistete die Arbeitgeberin im Jahr 2007 zu hohe Akonto-BeitrÃ¤ge in den BetrÃ¤gen von Fr. 7'993.30 (vgl. Urk. 7/91 Pos. 2008/0001) und Fr. 108.40 (vgl. Urk. 7/91 Pos. 2008/0018) sowie Familienzulagen an ihre Arbeitnehmerinnen von Fr. 340.-- (vgl. Urk. 7/91 Pos. 2008/0010), welche ihr erst im Jahr 2008 gutgeschrieben worden sind. Unter BerÃ¼cksichtigung dieser Gutschriften betragen die unbezahlt gebliebenen BeitrÃ¤ge beziehungsweise der der Beschwerdegegnerin entstandene Schaden Fr. 35'668.45. Dieser Betrag ist - wenn auch nicht Ã¼bersichtlich dargestellt - durch die Akten der Beschwerdegegnerin ausgewiesen (Urk. 7/90-91).</w:t>
      </w:r>
    </w:p>
    <w:p>
      <w:r>
        <w:rPr>
          <w:b/>
        </w:rPr>
        <w:t>E. 2</w:t>
      </w:r>
    </w:p>
    <w:p>
      <w:r>
        <w:t>2.1Â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 S. 529).</w:t>
      </w:r>
    </w:p>
    <w:p>
      <w:r>
        <w:t>2.2Â Â Â Â  Die Arbeitgeberin hat es unterlassen, die bis zur Einstellung der Lohnzahlungen geschuldeten SozialversicherungsbeitrÃ¤ge vollstÃ¤ndig zu bezahlen. Damit ist sie ihren Pflichten als Arbeitgeberin nicht nachgekommen und hat Ã¶ffentlichrechtliche Vorschriften missachtet.</w:t>
      </w:r>
    </w:p>
    <w:p>
      <w:r>
        <w:t>Â Â Â Â Â Â Â Â  Zu prÃ¼fen bleibt, ob und inwieweit der dadurch entstandene Schaden auf qualifiziert schuldhaftes Verhalten der BeschwerdefÃ¼hrerin zurÃ¼ckzufÃ¼hren ist.</w:t>
      </w:r>
    </w:p>
    <w:p>
      <w:r>
        <w:rPr>
          <w:b/>
        </w:rPr>
        <w:t>E. 3</w:t>
      </w:r>
    </w:p>
    <w:p>
      <w:r>
        <w:t>3.1Â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rPr>
          <w:b/>
        </w:rPr>
        <w:t>E. 3.2</w:t>
      </w:r>
    </w:p>
    <w:p>
      <w:r>
        <w:t>3.2.1Â Â  GemÃ¤ss Art. 35 AHVV haben Arbeitgeber periodisch AkontobeitrÃ¤ge zu entrichten. Diese werden von der Ausgleichskasse auf Grund der voraussichtlichen Lohnsumme festgesetzt (Abs. 1). Die Arbeitgeber haben der Ausgleichskasse wesentliche Ãnderungen der Lohnsumme wÃ¤hrend des laufenden Jahres zu melden (Abs. 2). Nach Art. 36 AHVV haben die Arbeitgeber die LÃ¶hne innert 30 Tagen nach Ablauf der Abrechnungsperiode abzurechnen (Abs. 2). Die Ausgleichskasse nimmt den Ausgleich zwischen den geleisteten AkontobeitrÃ¤gen und den tatsÃ¤chlich geschuldeten BeitrÃ¤gen aufgrund der Abrechnung vor (Abs. 4).</w:t>
      </w:r>
    </w:p>
    <w:p>
      <w:r>
        <w:t>Â Â Â Â Â Â Â Â  Nachdem die Konkursitin ab November 2008 keine LÃ¶hne mehr ausbezahlt hatte, lag eine wesentliche Ãnderung der Lohnsumme vor, die zu melden gewesen wÃ¤re. Dies hÃ¤tte zur Folge gehabt, dass fÃ¼r die Monate November und Dezember 2008 keine AktontobeitrÃ¤ge mehr in Rechnung gestellt worden wÃ¤ren und die ÂGutschriftÂ aus der Ausgleichsrechnung fÃ¼r das Jahr 2008 von Fr. 32'868.05 vom 19. Juni 2009 (Urk. 7/91 Pos. 2009/0004) um diesen Betrag kleiner ausgefallen wÃ¤re. Es ist daher auch nicht zu beanstanden, dass die Beschwerdegegnerin die ÂGutschriftÂ aus der Ausgleichsrechnung fÃ¼r die Monate Januar bis Oktober 2008 vorab an die Akontorechnungen November bis Dezember 2008 anrechnen will. Es handelt sich bei der Gutschrift, welche sich aus der Arbeitgeberkontrolle vom 4. Mai 2009 (Urk. 7/70) ergeben hat, nicht um einen Ausgleich nach Art. 36 Abs. 4 Satz 1 AHVV, da dieser Ausgleich nach dem Wortlaut dieser Bestimmung effektiv geleistete AkontobeitrÃ¤ge voraussetzt. Ebenso wenig liegt mit dieser Gutschrift eine Zahlung der Schuldnerin vor, die in Analogie zu Art. 87 des Obligationenrechts (OR) auf die Ã¤lteste Schuld anzurechnen wÃ¤re (vgl. dazu Urteil des EidgenÃ¶ssischen Versicherungsgerichts vom 31. August 2004 in Sachen B. und Y., H 326/03, E. 3.3.2 e contrario).</w:t>
      </w:r>
    </w:p>
    <w:p>
      <w:r>
        <w:t>3.2.2Â Â  Eine Nichtabrechnung oder Nichtbezahlung der BeitrÃ¤ge genÃ¼gt noch nicht, um ein qualifiziertes Verschulden anzunehmen. Vielmehr sind die gesamten UmstÃ¤nde zu wÃ¼rdigen. Nicht jede Verletzung der Ã¶ffentlich-rechtlichen Pflicht einer Arbeitgeberfirma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121 V 244 E. 4b mit Hinweis; 108 V 186 f. E. 1b; 108 V 200 f. E. 1; Urteile des damaligen EidgenÃ¶ssischen Versicherungsgerichts, EVG, in Sachen T. und M. vom 8. Juli 2003, H 141/01 und in Sachen S. vom 25. Mai 2004, H 307/03).</w:t>
      </w:r>
    </w:p>
    <w:p>
      <w:r>
        <w:t>Â Â Â Â Â Â Â Â  UnabhÃ¤ngig von den von der Beschwerdegegnerin nach dem Konkurs der Gesellschaft vorgenommenen Korrekturbuchungen blieben insgesamt Fr. 35'668.45 unbezahlt. Gemessen an den definitiven BeitrÃ¤gen fÃ¼r das Jahr 2008 von Fr. 113'165.15 (ohne Verzugszinsen und Mahnkosten) entspricht dies in etwa einem Beitragsausstand von drei Monaten. Zwar kann ein Beitragsausstand von zirka drei Monaten als kurz bezeichnet werden, hingegen kann der BeschwerdefÃ¼hrerin darin nicht gefolgt werden, dass die Konkursitin das Beitragswesen einwandfrei und straff gehandhabt hat, denn seit August 2006 wurden die AkontobeitrÃ¤ge regelmÃ¤ssig verspÃ¤tet abgeliefert und mussten die BeitrÃ¤ge teilweise gemahnt und Verzugszinsen erhoben werden. Der Exkulpationsgrund der kurzen Dauer des Beitragsausstandes ist denn auch nur auf FÃ¤lle anzuwenden, in denen die Zahlungsmoral der Gesellschaft mit Ausnahme der letzten zwei, drei Monate vor Konkurs immer klaglos war (Urteile des EVG in Sachen B. vom 13. Februar 2002, H 438/00, E. 4b/bb und in Sachen A. vom 16. Mai 2002, H 44/01).</w:t>
      </w:r>
    </w:p>
    <w:p>
      <w:r>
        <w:t>3.2.3Â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 im formellen Sinn. Anderen Personen kommt faktisch Organstellung zu, wenn sie tatsÃ¤chlich die Funktion von Organen erfÃ¼llen, indem sie diesen vorbehaltene Entscheide treffen oder die eigentliche GeschÃ¤ftsfÃ¼hrung besorgen und so die Willensbildung der Gesellschaft massgebend mitbestimmen (BGE 132 III 523 E. 4.5 S. 528; 114 V 213; vgl. auch BGE 129 V 11). Die Organstellung endet mit der tatsÃ¤chlichen Beendigung des Mandates oder dem Ausscheiden aus der Firma und nicht etwa erst mit der LÃ¶schung einer bestimmten Eintragung im Handelsregister (BGE 126 V 61). Die Schadenersatzpflicht nach Art. 52 Abs. 1 AHVG reicht grundsÃ¤tzlich nur soweit, als die betreffende Person in Bezug auf die nichtbezahlten BeitrÃ¤ge disponieren und Zahlungen an die Ausgleichskasse veranlassen konnte (vgl. BGE 103 V 123 E. 5; Urteil des Bundesgerichts in Sachen G. vom 8. Oktober 2008, 9C_901/2007, E. 5.1, nicht publiziert in BGE 134 V 401).</w:t>
      </w:r>
    </w:p>
    <w:p>
      <w:r>
        <w:t>Â Â Â Â 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w:t>
      </w:r>
    </w:p>
    <w:p>
      <w:r>
        <w:t>Â Â Â Â Â Â Â Â  Aktenkundig ist, dass die BeschwerdefÃ¼hrerin, welche nicht Gesellschafterin der Konkursitin war, bis zum Zeitpunkt der KonkurserÃ¶ffnung als Mitglied der GeschÃ¤ftsleitung mit Kollektivzeichnungsberechtigung zu zweien im Handelsregister eingetragen gewesen war. Neben ihr amtete die Beigeladene als Gesellschafterin und GeschÃ¤ftsfÃ¼hrerin mit Einzelzeichnungsberechtigung (Urk. 7/88). GemÃ¤ss Arbeitsvertrag vom 11. Mai 2004 (Urk. 3/4) und Stellenbeschreibung (Urk. 16/3) war die BeschwerdefÃ¼hrerin der Beigeladenen unterstellt. Im Zusammenhang mit dem Beitragswesen fÃ¤llt denn auch auf, dass die BeschwerdefÃ¼hrerin gegenÃ¼ber der Ausgleichskasse nur zweimal in Erscheinung trat, und zwar handelte es sich dabei lediglich um die Meldung eines geÃ¤nderten Zivilstandes einer Mitarbeiterin und um eine Eintrittsmeldung (vgl. Urk. Urk. 7/49 und Urk. 7/51). Die Lohnmeldungen wurden von der Beigeladenen selber (vgl. Urk. 7/1, Urk. 7/3) oder von dem von der Konkursitin beauftragten TreuhandbÃ¼ro (vgl. Urk. 7/17, Urk. 7/24 und Urk. 7/32) eingereicht. Eigentliche GeschÃ¤ftsfÃ¼hrungsaufgaben nahm die BeschwerdefÃ¼hrerin auch gemÃ¤ss Stellenbeschreibung nicht wahr. Im Bereich Betriebsorganisation und Infrastruktur, Festlegung der Jahresziele sowie der administrativen Aufgaben kam ihr zudienende oder vorbereitende Funktion zu HÃ¤nden der GeschÃ¤ftsleiterin beziehungsweise des TreuhandbÃ¼ros zu. Im Zusammenhang mit der Buchhaltung war sie beauftragt, die Kasse zu fÃ¼hren, die Vorbereitungen fÃ¼r das TreuhandbÃ¼ro sowie die Zahlungskontrolle und das Mahnwesen durchzufÃ¼hren. So meldete sie denn auch nur den Bestand der Debitoren an das TreuhandbÃ¼ro und berechnete aufgrund der Belegung der KrippenplÃ¤tze die mutmasslichen Einnahmen (Urk. 16/4). Die Buchhaltung und die Finanzplanung wurde dagegen vom TreuhandbÃ¼ro gefÃ¼hrt (Urk. 7/92 und Urk. 16/6). In eigener Verantwortung fÃ¼hrte sie die Krippenleiterinnen, Ã¼berwachte die Auslastung und war fÃ¼r Anstellung beziehungsweise Entlassung und EntlÃ¶hnung zustÃ¤ndig. Entscheidungsbefugnisse fÃ¼r Massnahmen zur Behebung finanzieller EngpÃ¤sse die Gesellschaft betreffend sind damit nicht erfasst. Dass die BeschwerdefÃ¼hrerin in eigener Verantwortung eine dauernde ZustÃ¤ndigkeit fÃ¼r gewisse, das AlltagsgeschÃ¤ft Ã¼bersteigende und das GeschÃ¤ftsergebnis beeinflussende Entscheide wahrgenommen hat (vgl. BGE 128 III 29 zur aktienrechtlicher Verantwortlichkeit), kann den Akten nicht entnommen werden und macht auch die Beigeladene nicht geltend.</w:t>
      </w:r>
    </w:p>
    <w:p>
      <w:r>
        <w:t>Â Â Â Â Â Â Â Â  Angesichts der nur untergeordneten Funktionen der BeschwerdefÃ¼hrerin kann zusammenfassend nicht darauf geschlossen werden, dass sie faktisches Organ der Gesellschaft war, weshalb sie fÃ¼r den der Beschwerdegegnerin entstandenen Schaden nicht haftet.</w:t>
      </w:r>
    </w:p>
    <w:p>
      <w:r>
        <w:t>4.Â Â Â Â Â Â  Nach dem Dargelegten ist die Beschwerde gutzuheissen und der Einspracheentscheid der Beschwerdegegnerin vom 7. Juli 2010 (Urk. 2) ersatzlos aufzuheben.</w:t>
      </w:r>
    </w:p>
    <w:p>
      <w:r>
        <w:t>5.Â Â Â Â Â Â  Bei diesem Ausgang des Verfahrens hat die BeschwerdefÃ¼hrerin Anspruch auf eine ProzessentschÃ¤digung. Diese ist gestÃ¼tzt auf Â§ 34 des Gesetzes Ã¼ber das Sozialversicherungsgericht (GSVGer) unter BerÃ¼cksichtigung des notwendigen Aufwandes, der Schwierigkeit des Prozesses und der Bedeutung der Streitsache und des gerichtsÃ¼blichen Ansatzes von Fr. 200.-- pro Stunde auf Fr. 1'300.-- (inkl. Barauslagen und Mehrwertsteuer) festzusetzen.</w:t>
      </w:r>
    </w:p>
    <w:p>
      <w:r>
        <w:t>Das Gericht erkennt:</w:t>
      </w:r>
    </w:p>
    <w:p>
      <w:r>
        <w:t>1.Â Â Â Â Â Â Â Â  In Gutheissung der Beschwerde wird der Einspracheentscheid der Beschwerdegegnerin vom 7. Juli 2010 ersatzlos aufgehoben.</w:t>
      </w:r>
    </w:p>
    <w:p>
      <w:r>
        <w:t>2.Â Â Â Â Â Â Â Â  Das Verfahren ist kostenlos.</w:t>
      </w:r>
    </w:p>
    <w:p>
      <w:r>
        <w:t>3.Â Â Â Â Â Â Â Â  Die Beschwerdegegnerin wird verpflichtet, der BeschwerdefÃ¼hrerin eine ProzessentschÃ¤digung von Fr. 1'300.-- (inkl. Barauslagen und MWSt) zu bezahlen.</w:t>
      </w:r>
    </w:p>
    <w:p>
      <w:r>
        <w:t>4.Â Â Â Â Â Â Â Â Â Â  Zustellung gegen Empfangsschein an:</w:t>
      </w:r>
    </w:p>
    <w:p>
      <w:r>
        <w:t>- Rechtsanwalt Michael Grimmer</w:t>
      </w:r>
    </w:p>
    <w:p>
      <w:r>
        <w:t>- Sozialversicherungsanstalt des Kantons ZÃ¼rich, Ausgleichskasse</w:t>
      </w:r>
    </w:p>
    <w:p>
      <w:r>
        <w:t>- Rechtsanwalt Markus Haas</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