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AK.2010.00012 vom 14. November 2011</w:t>
      </w:r>
    </w:p>
    <w:p>
      <w:r>
        <w:t>ZH Sozialversicherungsgericht, 2011-11-14, DE</w:t>
      </w:r>
    </w:p>
    <w:p>
      <w:r>
        <w:rPr>
          <w:b/>
        </w:rPr>
        <w:t xml:space="preserve">Quelle: </w:t>
      </w:r>
      <w:r>
        <w:t>https://mcp.opencaselaw.ch/entscheid/zh_sozialversicherungsgericht_AK.2010.00012</w:t>
      </w:r>
    </w:p>
    <w:p>
      <w:r>
        <w:t>FR: ZH_SOZIALVERSICHERUNGSGERICHT AK.2010.00012 du 14 novembre 2011</w:t>
      </w:r>
    </w:p>
    <w:p>
      <w:r>
        <w:t>IT: ZH_SOZIALVERSICHERUNGSGERICHT AK.2010.00012 del 14 novembre 2011</w:t>
      </w:r>
    </w:p>
    <w:p>
      <w:pPr>
        <w:pStyle w:val="Heading2"/>
      </w:pPr>
      <w:r>
        <w:t>Erwägungen</w:t>
      </w:r>
    </w:p>
    <w:p>
      <w:r>
        <w:rPr>
          <w:b/>
        </w:rPr>
        <w:t>E. 3</w:t>
      </w:r>
    </w:p>
    <w:p>
      <w:r>
        <w:t>3.1Â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w:t>
      </w:r>
    </w:p>
    <w:p>
      <w:r>
        <w:t>Vorab zu prÃ¼fen ist, ob die SchadenersatzverfÃ¼gung vom 23. Februar 2010 (Urk. 6/221) rechtzeitig erlassen wurde.</w:t>
      </w:r>
    </w:p>
    <w:p>
      <w:r>
        <w:t>3.2Â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3.3Â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3.4Â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193 E. 2.3, 128 V 10 E. 5a, 126 V 443 E. 3c).</w:t>
      </w:r>
    </w:p>
    <w:p>
      <w:r>
        <w:t>3.5Â Â Â Â  Am 15. Juli 2009 wurde die Einstellung des Konkurses der Z.___ mangels Aktiven per 2. Juli 2009 bekannt gegeben (Urk. 6/184). Die SchadenersatzverfÃ¼gung vom 23. Februar 2010 erfolgte somit rechtzeitig innerhalb der zweijÃ¤hrigen VerjÃ¤hrungsfrist von Art. 52 Abs. 3 AHVG. Dies ist im Ãbrigen unbestritten.</w:t>
      </w:r>
    </w:p>
    <w:p>
      <w:r>
        <w:rPr>
          <w:b/>
        </w:rPr>
        <w:t>E. 4</w:t>
      </w:r>
    </w:p>
    <w:p>
      <w:r>
        <w:t>4.1Â Â Â Â  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4.2Â Â Â Â  Bei fehlenden oder unvollstÃ¤ndigen Bescheinigungen in frÃ¼heren Jahren muss die NachzahlungsverfÃ¼gung zumindest in der Beilage die fÃ¼r die Verbuchung der BeitrÃ¤ge und die Eintragung in die individuellen Konten benÃ¶tigten Angaben enthalten, so die Namen der Arbeitnehmer, die HÃ¶he der massgebenden LÃ¶hne und der darauf berechneten BeitrÃ¤ge sowie das Jahr, fÃ¼r welches die BeitrÃ¤ge nachgefordert werden (Reichmuth, Die Haftung des Arbeitgebers und seiner Organe nach Art. 52 AHVG, S. 109 Rz 461).</w:t>
      </w:r>
    </w:p>
    <w:p>
      <w:r>
        <w:t>Beruht die strittige Schadenersatzforderung auf rechtskrÃ¤ftigen NachzahlungsverfÃ¼gungen und wurden diese wie vorliegend erst in der Zeit nach KonkurserÃ¶ffnung erlassen, so ist das Gericht gehalten, sich mit der Schadenersatzforderung auch in masslicher Hinsicht auseinander zu setzen. In solchen FÃ¤llen sind die Organe der Gesellschaft nicht mehr zur Anfechtung der NachzahlungsverfÃ¼gung berechtigt gewesen (AHI-Praxis 1993 173 E. 3b; Kieser, Rechtsprechung zur AHV, Rz 49 zu Art. 52).</w:t>
      </w:r>
    </w:p>
    <w:p>
      <w:r>
        <w:t>4.3Â Â Â Â  Der BeschwerdefÃ¼hrer macht geltend, die der NachzahlungsverfÃ¼gung zugrunde liegenden LÃ¶hne seien nicht ausbezahlt worden; es liege kein Schaden vor (Urk. 1 S. 5). Diese Vorbringen sind nicht substantiiert und nicht glaubhaft, hat doch selbst der Beigeladene bestÃ¤tigt, dass er in den Jahren 2006 und 2007 insgesamt Fr. 174'000.-- bezogen hatte (vgl. Urk. 11 S. 1). Es kann auf das vorstehend in ErwÃ¤gung 1.4-1.5 Gesagte verwiesen werden; der BeschwerdefÃ¼hrer war bei der Nacherfassung der der NachtragsverfÃ¼gungen zugrunde liegenden LÃ¶hne anwesend und machte dabei nicht geltend, dass diese LÃ¶hne nicht ausbezahlt worden wÃ¤ren. Deren HÃ¶he wurde im Arbeitgeberbericht ausreichend dokumentiert (Urk. 6/199/2), mit der TreuhÃ¤nderin des BeschwerdefÃ¼hrers besprochen und einzeln nach Arbeitnehmer ausgewiesen (Urk. 6/200). Die Auszahlung der Lohnbetreffnisse ist somit Ã¼berwiegend wahrscheinlich. Ein blosses unsubstantiiertes Bestreiten vermag die unter Anwesenheit des BeschwerdefÃ¼hrers errechneten Lohnzahlungen nicht in Zweifel zu ziehen. Damit ist der von der Beschwerdegegnerin errechnete Schadensbetrag nicht zu beanstanden.</w:t>
      </w:r>
    </w:p>
    <w:p>
      <w:r>
        <w:rPr>
          <w:b/>
        </w:rPr>
        <w:t>E. 5</w:t>
      </w:r>
    </w:p>
    <w:p>
      <w:r>
        <w:t>5.1Â Â Â Â  Zu prÃ¼fen ist die weitere Haftungsvoraussetzung der Widerrechtlichkeit.</w:t>
      </w:r>
    </w:p>
    <w:p>
      <w:r>
        <w:t>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t>5.2Â Â Â Â  Aus den Akten ist ersichtlich, dass die Z.___ GmbH den ihr als Arbeitgeberin obliegenden Zahlungsverpflichtungen mehrheitlich verspÃ¤tet oder gar nicht nachgekommen ist und LÃ¶hne nicht deklarierte. Die BeitrÃ¤ge wurden unregelmÃ¤ssig bezahlt und die Gesellschaft musste regelmÃ¤ssig gemahnt werden und Verzugszinsen bezahlen (vgl. Urk. 6/241 S. 2 f). Die Beschwerdegegnerin musste Betreibungen erheben, die schlussendlich zu Verlustscheinen fÃ¼hrten (Urk. 6/128-133; Urk. 6/154-156; Urk. 6/160-162; Urk. 6/179-180). Die geschuldeten BeitrÃ¤ge blieben zu einem erheblichen Teil unbezahlt, was zum Schaden der Beschwerdegegnerin fÃ¼hrte. Die Gesellschaft hat damit die gesetzlichen Abrechnungs- und Beitragszahlungspflichten von Art. 14 AHVG und Art. 34 ff. AHVV und somit Vorschriften im Sinne von Art. 52 AHVG verletzt, weshalb die Haftungsvoraussetzung der Widerrechtlichkeit rechtsprechungsgemÃ¤ss zu bejahen ist.</w:t>
      </w:r>
    </w:p>
    <w:p>
      <w:r>
        <w:rPr>
          <w:b/>
        </w:rPr>
        <w:t>E. 6</w:t>
      </w:r>
    </w:p>
    <w:p>
      <w:r>
        <w:t>6.1Â Â Â Â  Nebst dem Erfordernis des widerrechtlichen Vorgehens muss der Schaden der Beschwerdegegnerin in qualifiziert schuldhafter Weise durch die Arbeitgeberin verursacht worden sein.</w:t>
      </w:r>
    </w:p>
    <w:p>
      <w:r>
        <w:t>6.2Â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6.3Â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6.4Â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E. 1b; 108 V 200 E. 1; Urteile des damaligen EidgenÃ¶ssischen Versicherungsgerichts, EVG, in Sachen T. und M. vom 8. Juli 2003, H 141/01 und in Sachen S. vom 25. Mai 2004, H 307/03).</w:t>
      </w:r>
    </w:p>
    <w:p>
      <w:r>
        <w:t>6.5Â Â Â Â  Vorliegend sind keine solche EntlastungsgrÃ¼nde gegeben. Aus den Akten ist ersichtlich, dass die Z.___ GmbH bereits im GrÃ¼ndungsjahr 2003 erstmals gemahnt und betrieben wurde (Urk. 6/5-8) und seither mit der Begleichung der geschuldeten BeitrÃ¤ge wiederholt in Verzug geriet (vgl. Urk. 6/241 S. 2 f.). Im Jahr 2007 wurde ein Zahlungsaufschub gewÃ¤hrt (Urk. 6/55), jedoch nicht eingehalten (Urk. 6/57).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 4b/bb und in Sachen K. vom 16. Mai 2002, H 44/01). Dies ist vorliegend nicht der Fall und wird auch nicht geltend gemacht.</w:t>
      </w:r>
    </w:p>
    <w:p>
      <w:r>
        <w:t>6.6Â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 6.2.3 und in Sachen S. vom 19. Dezember 2003, H 101/01 E. 4.2).</w:t>
      </w:r>
    </w:p>
    <w:p>
      <w:r>
        <w:t>Die Ursachen fÃ¼r die finanziellen Schwierigkeiten der Z.___ GmbH sind letztlich fÃ¼r die hier zu beurteilende Streitfrage von untergeordneter Bedeutung: RechtsprechungsgemÃ¤ss kommt bei finanziellen Schwierigkeiten der Grundsatz zum Tragen, dass nur soviel Lohn ausbezahlt werden darf, als die darauf unmittelbar ex lege entstandenen Beitragsforderungen gedeckt sind (SVR 1995 AHV Nr. 70 S. 214 E. 5; Urteile des EVG in Sachen M. vom 2. Dezember 2003, H 295/02, E. 5.2.3; in Sachen B. vom 26. September 2001, H 19/01, E. 3). Das Verhalten der Gesellschaft ist deshalb als mindestens grobfahrlÃ¤ssig zu beurteilen. Die Z.___ GmbH hat somit den der Beschwerdegegnerin entstandenen Schaden fÃ¼r die ausgefallenen paritÃ¤tischen SozialversicherungsbeitrÃ¤ge (nebst Akzessorien) durch die ihr anzulastenden NormverstÃ¶sse qualifiziert schuldhaft verursacht.</w:t>
      </w:r>
    </w:p>
    <w:p>
      <w:r>
        <w:rPr>
          <w:b/>
        </w:rPr>
        <w:t>E. 7</w:t>
      </w:r>
    </w:p>
    <w:p>
      <w:r>
        <w:t>7.1Â Â Â Â  Zu prÃ¼fen bleibt, ob auch dem belangten Organ widerrechtliche Handlungen und ein Verschulden vorgeworfen werden kÃ¶nnen.</w:t>
      </w:r>
    </w:p>
    <w:p>
      <w:r>
        <w:t>7.2Â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S. 528; 114 V 213; vgl. auch BGE 129 V 11). Die Organstellung endet mit der tatsÃ¤chlichen Beendigung des Mandates oder dem Ausscheiden aus der Firma und nicht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 5; BGE 134 V 401 E. 5.1).</w:t>
      </w:r>
    </w:p>
    <w:p>
      <w:r>
        <w:t>7.3Â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7.4Â Â Â Â  Der BeschwerdefÃ¼hrer war seit 29. November 2007 Gesellschafter und GeschÃ¤ftsfÃ¼hrer mit Einzelzeichnungsberechtigung der Z.___ GmbH (Urk. 6/63). Ihm kommt somit formelle Organeigenschaft zu. Darauf ist fÃ¼r die Bejahung der subsidiÃ¤ren Haftbarkeit (Passivlegitimation nach Art. 52 AHVG) abzustellen (BGE 123 V 15 E. 5b mit Hinweisen).</w:t>
      </w:r>
    </w:p>
    <w:p>
      <w:r>
        <w:t>Als GeschÃ¤ftsfÃ¼hrer einer GmbH oblagen dem BeschwerdefÃ¼hrer gemÃ¤ss Art. 810 Abs. 2 des Obligationenrechts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Finanzplanung, sofern diese fÃ¼r die FÃ¼hrung der Gesellschaft notwendig ist;</w:t>
      </w:r>
    </w:p>
    <w:p>
      <w:r>
        <w:t>Â Â Â Â Â Â Â Â  4. Â  die Aufsicht Ã¼ber die Personen, denen Teile der GeschÃ¤ftsfÃ¼hrung Ã¼bertra-Â Â  gen sind, namentlich im Hinblick auf die Befolgung der Gesetze, Statuten, Â Â Â Â Â Â Â  Reglemente und Weisungen.</w:t>
      </w:r>
    </w:p>
    <w:p>
      <w:r>
        <w:t>Insbesondere war der BeschwerdefÃ¼hrer als GeschÃ¤ftsfÃ¼hrer der Z.___ GmbH verpflichtet, fÃ¼r die ErfÃ¼llung der Beitragspflicht gegenÃ¼ber der Ausgleichskasse besorgt zu sein. An die ihm als GeschÃ¤ftsfÃ¼hrer obliegenden Sorgfaltspflichten sind angesichts der einfachen Organisationsstruktur der Gesellschaft praxisgemÃ¤ss hohe Anforderungen zu stellen (BGE 108 V 203 E. 3b). Eine Verletzung dieser Pflichten ist als grobfahrlÃ¤ssig zu werten, sodass der BeschwerdefÃ¼hrer fÃ¼r den der Ausgleichskasse entstandenen Schaden einzustehen hat, sofern keine Rechtfertigungs- oder ExkulpationsgrÃ¼nde vorliegen (vgl. Urteil des EVG in Sachen D. vom 25. Mai 2007, H 63/05, E. 6.4).</w:t>
      </w:r>
    </w:p>
    <w:p>
      <w:r>
        <w:t>7.5Â Â Â Â  Was den zeitlichen Umfang der Organhaftung angeht, so tritt das Organ mit der Ãbernahme seiner Funktion in die Verantwortung fÃ¼r die laufenden wie auch fÃ¼r die vor der Ãbernahme unbezahlt gebliebenen BeitrÃ¤ge ein. Es ist seine Pflicht, gerade auch fÃ¼r die Begleichung bereits entstandener Abgaben besorgt zu sein. RechtsprechungsgemÃ¤ss besteht kein Grund, fÃ¼r die Schadenersatzpflicht zwischen Beitragszahlungen, die bei Beginn der Organstellung bereits ausstehend waren, und solchen, die erst wÃ¤hrend derselben entstehen, zu unterscheiden, da hinsichtlich beider Arten von Verbindlichkeiten die UntÃ¤tigkeit des Organs regelmÃ¤ssig kausal ist. Anderes kann gelten, wenn erst im Rahmen einer nach dem Eintritt erfolgten Arbeitgeberkontrolle festgestellt wird, dass vor dem Eintritt entrichtete LÃ¶hne nicht mit der Ausgleichskasse abgerechnet wurden. Dies gilt jedenfalls dann, wenn das Organ hiervon bei der ihm obliegenden Sorgfalt keine Kenntnis haben konnte und es, sobald es diese erhÃ¤lt, entweder fÃ¼r deren Bezahlung sorgt oder aber umgehend zurÃ¼cktritt (Reichmuth, Rz 275-276 mit Hinweisen).</w:t>
      </w:r>
    </w:p>
    <w:p>
      <w:r>
        <w:t>7.6Â Â Â Â  Vorliegend hÃ¤tte der BeschwerdefÃ¼hrer bei der ihm obliegenden Sorgfalt, die er nicht walten liess, Kenntnis von den in den Jahren 2004, 2006 und 2007 zu wenig, nicht oder nicht korrekt deklarierten LÃ¶hnen (vgl. Urk. 6/199) haben kÃ¶nnen, da gemÃ¤ss Arbeitgeberbericht vom 14. Oktober 2009 (Urk. 6/199/1) die Bilanz und die Erfolgsrechnung der Jahre 2004 bis 2006 sowie die Lohnkonten der Jahre 2004 und 2007 vorhanden waren. Der BeschwerdefÃ¼hrer hÃ¤tte sich somit bei Eintritt in die Gesellschaft eine Ãbersicht Ã¼ber die bezahlten LÃ¶hne verschaffen und fÃ¼r eine rechtzeitige Bezahlung der geschuldeten BeitrÃ¤ge sorgen kÃ¶nnen und mÃ¼ssen, zumal gemÃ¤ss seinen Angaben anlÃ¤sslich der Einvernahme im Konkursverfahren die Buchhaltung bis 31. Dezember 2007 nachgefÃ¼hrt gewesen sei (Urk. 6/199/10 Ziff. 14.1) und erst im Jahr 2008 LiquiditÃ¤tsschwierigkeiten eingetreten seien (vgl. Urk. 6/199/11 Ziff. 19). Damit hat der BeschwerdefÃ¼hrer auch fÃ¼r diejenigen Beitragsschulden einzustehen, die vor der Ãbernahme seiner Organfunktion in der Z.___ GmbH entstanden sind.</w:t>
      </w:r>
    </w:p>
    <w:p>
      <w:r>
        <w:t>8.Â Â Â Â Â Â  Der BeschwerdefÃ¼hrer ist als GeschÃ¤ftsfÃ¼hrer und Gesellschafter der Z.___ GmbH in Bezug auf die GewÃ¤hrleistung der AHV-rechtlichen Arbeitgeberpflichten weitgehend untÃ¤tig geblieben. Damit ist er der ihm als formellem Organ dieser Gesellschaft obliegenden Pflicht, fÃ¼r eine ordnungsgemÃ¤sse Bezahlung der SozialversicherungsbeitrÃ¤ge zu sorgen, nicht nachgekommen. In Anbetracht der gesamten UmstÃ¤nde ist sein Verhalten als grobfahrlÃ¤ssig zu qualifizieren. Dieses Verhalten ist ohne weiteres als adÃ¤quat kausal (BGE 119 V 406 E. 4a mit Hinweisen, vgl. auch BGE 122 V 189 sowie 119 Ib 343 E. 3c) fÃ¼r den Schaden zu betrachten. Damit ist der BeschwerdefÃ¼hrer fÃ¼r den der Beschwerdegegnerin entstandenen Schaden nach Art. 52 AHVG in der nach der Einstellung des Konkursverfahrens verbleibenden HÃ¶he von Fr. 35'834.65 ersatzpflichtig.</w:t>
      </w:r>
    </w:p>
    <w:p>
      <w:r>
        <w:t>Der angefochtene Einspracheentscheid vom 1. Juni 2010 erweist sich demnach als rechtens.</w:t>
      </w:r>
    </w:p>
    <w:p>
      <w:r>
        <w:t>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Markus Krapf</w:t>
      </w:r>
    </w:p>
    <w:p>
      <w:r>
        <w:t>- Sozialversicherungsanstalt des Kantons ZÃ¼rich, Ausgleichskasse</w:t>
      </w:r>
    </w:p>
    <w:p>
      <w:r>
        <w:t>- Y.___</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