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AK.2010.00004 vom 26. August 2011</w:t>
      </w:r>
    </w:p>
    <w:p>
      <w:r>
        <w:t>ZH Sozialversicherungsgericht, 2011-08-26, DE</w:t>
      </w:r>
    </w:p>
    <w:p>
      <w:r>
        <w:rPr>
          <w:b/>
        </w:rPr>
        <w:t xml:space="preserve">Quelle: </w:t>
      </w:r>
      <w:r>
        <w:t>https://mcp.opencaselaw.ch/entscheid/zh_sozialversicherungsgericht_AK.2010.00004</w:t>
      </w:r>
    </w:p>
    <w:p>
      <w:r>
        <w:t>FR: ZH_SOZIALVERSICHERUNGSGERICHT AK.2010.00004 du 26 août 2011</w:t>
      </w:r>
    </w:p>
    <w:p>
      <w:r>
        <w:t>IT: ZH_SOZIALVERSICHERUNGSGERICHT AK.2010.00004 del 26 agosto 2011</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w:t>
      </w:r>
    </w:p>
    <w:p>
      <w:r>
        <w:t>Vorab zu prÃ¼fen ist, ob die SchadenersatzverfÃ¼gung vom 7. Dezember 2009 (Urk. 6/111) rechtzeitig erlassen wurde.</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2.3Â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2.4Â Â Â Â Â Â Â Â  Kenntnis des Schadens im Sinne von Art. 52 Abs. 3 AHVG ist in der Regel von dem Zeitpunkt an gegeben, in welchem die Ausgleichskasse unter Beachtung der ihr zumutbaren Aufmerksamkeit erkennen muss, dass die tatsÃ¤chlichen Gegebenheiten es nicht mehr erlauben, die BeitrÃ¤ge einzufordern, wohl aber eine Schadenersatzpflicht begrÃ¼nden kÃ¶nnen (BGE 131 V 427 E. 3.1 mit Hinweisen).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 3a, 119 V 92 E. 3, je mit Hinweisen).</w:t>
      </w:r>
    </w:p>
    <w:p>
      <w:r>
        <w:t>2.5Â Â Â Â  Am 30. Oktober 2007 wurde Ã¼ber die Gesellschaft der Konkurs erÃ¶ffnet (Urk. 6/135). Am 20. November 2007 wurde erstmals die Auflage des Kollokationsplans und der Verteilungsliste angezeigt (Urk. 6/76); ob ein Konkursverfahren durchgefÃ¼hrt werde, sei jedoch noch nicht klar (vgl. Urk. 6/83). Am 3. Januar 2008 wurde eine erstmalige Arbeitgeberkontrolle fÃ¼r die Kontrollperiode 1. September 2006 bis 30. Oktober 2007 durchgefÃ¼hrt (Urk. 6/87). Das Konkursamt teilte der Beschwerdegegnerin am 7. November 2008 mit, die Eingabefrist laufe bis am 15. Dezember 2008 (Urk. 6/98). Dementsprechend meldete diese am 11. Dezember 2008 die Forderung von Fr. 226`584.60 im Konkursverfahren an (Urk. 6/100). Am 20. MÃ¤rz 2009 wurde die Auflage des Kollokationsplans angezeigt (Urk. 6/105) und der Beschwerdegegnerin am 25. MÃ¤rz 2009 mitgeteilt, dass sie im Konkurs voll zu Schaden kommen werde (Urk. 6/108).</w:t>
      </w:r>
    </w:p>
    <w:p>
      <w:r>
        <w:t>2.6Â Â Â Â Â Â Â Â  GestÃ¼tzt auf die obgenannte Rechtsprechung ist fÃ¼r den Zeitpunkt des Beginns der zweijÃ¤hrigen VerjÃ¤hrungsfrist frÃ¼hestens auf das Datum der Auflage des Kollokationsplans am 20. MÃ¤rz 2009 abzustellen. Da die SchadenersatzverfÃ¼gung am 7. Dezember 2009 erging, wurde die zweijÃ¤hrige Frist zur Geltendmachung des Schadenersatzes gemÃ¤ss Art. 52 Abs. 3 AHVG gewahrt. Dies ist im Ãbrigen unbestritten.</w:t>
      </w:r>
    </w:p>
    <w:p>
      <w:r>
        <w:rPr>
          <w:b/>
        </w:rPr>
        <w:t>E. 3</w:t>
      </w:r>
    </w:p>
    <w:p>
      <w:r>
        <w:t>3.1Â Â Â Â  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Dem von der Beschwerdegegnerin geltend gemachten Schaden in der vorliegend zu prÃ¼fenden HÃ¶he von Fr. 59Â015.05 liegen ausstehende BeitrÃ¤ge fÃ¼r den Zeitraum vom September bis Dezember 2006 und Januar bis MÃ¤rz 2007 zugrunde (vgl. Urk. 2 S. 3; Urk. 6/138 S. 1 f.). Bei den Akten liegen entsprechende Jahresabrechnungen (Urk. 6/13, Urk. 6/49), zahlreiche Mahnungen (Urk. 6/4; Urk. 6/8; Urk. 6/12; Urk. 6/21; Urk. 6/25-26; Urk. 6/29; Urk. 6/32; Urk. 6/35; Urk. 6/40; Urk. 6/54), Betreibungen (Urk. 6/9; Urk. 6/15; Urk. 6/22; Urk. 6/27; Urk. 6/31; Urk. 6/36; Urk. 6/47; Urk. 6/55) und Zahlungsbefehle (Urk. 6/10; Urk. 6/24; Urk. 6/28; Urk. 6/30; Urk. 6/33-34; Urk. 6/45-46; Urk. 6/62; Urk. 6/69). Aus diesen Unterlagen und insbesondere aus der Aufstellung Ã¼ber ausstehende Beitragszahlungen, Verzugszinsen und MahngebÃ¼hren (Urk. 6/138; fÃ¼r den den BeschwerdefÃ¼hrer betreffenden Zeitraum vgl. Pos. Nr. 2006-0001 bis 2007-0004) ist ersichtlich, dass sich der Schaden aus der GegenÃ¼berstellung der gemÃ¤ss Konto-Auszug geschuldeten SozialversicherungsbeitrÃ¤ge zuzÃ¼glich Verzugszinsen, MahngebÃ¼hren und Betreibungskosten und der von der A.___ AG geleisteten Zahlungen ergibt. Diese GegenÃ¼berstellung ist im Konto-Auszug vom 10. MÃ¤rz 2010 nachvollziehbar dargestellt (Urk. 6/138). Damit steht fest, dass der von der Beschwerdegegnerin geforderte Schadensbetrag korrekt errechnet wurde, was im Ãbrigen vom BeschwerdefÃ¼hrer nicht bestritten wird.</w:t>
      </w:r>
    </w:p>
    <w:p>
      <w:r>
        <w:rPr>
          <w:b/>
        </w:rPr>
        <w:t>E. 4</w:t>
      </w:r>
    </w:p>
    <w:p>
      <w:r>
        <w:t>4.1Â Â Â Â  Zu prÃ¼fen ist die weitere Haftungsvoraussetzung der Widerrechtlichkeit.</w:t>
      </w:r>
    </w:p>
    <w:p>
      <w:r>
        <w:t>4.2Â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4.3Â Â Â Â  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t>4.4Â Â Â Â  Aus den Akten ist ersichtlich, dass die A.___ AG den ihr als Arbeitgeberin obliegenden Zahlungsverpflichtungen bereits kurz nach der GrÃ¼ndung - diese erfolgte am 20. Juli 2006 (vgl. Urk. 6/2) - mehrheitlich verspÃ¤tet oder gar nicht nachgekommen ist. Die BeitrÃ¤ge wurden sehr unregelmÃ¤ssig bezahlt und die Gesellschaft musste immer wieder gemahnt werden und Verzugszinsen bezahlen (vgl. vorstehend E. 3.2; Urk. 6/138). Die geschuldeten BeitrÃ¤ge blieben zu einem erheblichen Teil unbezahlt, was zum Schaden der Beschwerdegegnerin fÃ¼hrte. Die Gesellschaft hat damit die gesetzlichen Abrechnungs- und Beitragszahlungspflichten von Art. 14 AHVG und Art. 34 ff. AHVV und somit Vorschriften im Sinne von Art. 52 AHVG verletzt, weshalb die Haftungsvoraussetzung der Widerrechtlichkeit rechtsprechungsgemÃ¤ss zu bejahen ist.</w:t>
      </w:r>
    </w:p>
    <w:p>
      <w:r>
        <w:rPr>
          <w:b/>
        </w:rPr>
        <w:t>E. 5</w:t>
      </w:r>
    </w:p>
    <w:p>
      <w:r>
        <w:t>5.1Â Â Â Â  Nebst dem Erfordernis des widerrechtlichen Vorgehens muss der Schaden der Beschwerdegegnerin in qualifiziert schuldhafter Weise durch die Arbeitgeberin verursacht worden sein.</w:t>
      </w:r>
    </w:p>
    <w:p>
      <w:r>
        <w:t>5.2Â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5.3Â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5.4Â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Urteil des damaligen EidgenÃ¶ssischen Versicherungsgerichts, EVG, H 141/01 vom 8. Juli 2003).</w:t>
      </w:r>
    </w:p>
    <w:p>
      <w:r>
        <w:t>5.5Â Â Â Â Â Â Â Â  Vorliegend steht die verhÃ¤ltnismÃ¤ssig lange Dauer des Normverstosses der Annahme entlastender Momente entgegen. Aus den Akten ist ersichtlich, dass die A.___ AG am 20. November 2006 erstmals gemahnt wurde und seither mit der Begleichung der geschuldeten BeitrÃ¤ge wiederholt in Verzug geriet, so dass sie mehrfach und mit einer gewissen RegelmÃ¤ssigkeit gemahnt und betrieben werden musste (vgl. vorstehend E. 3.2; Urk. 6/138). Von einem kurzfristigen Verstoss gegen die Beitragsfristen im Sinne von BGE 121 V 243 kann demnach nicht gesprochen werden. Der Exkulpationsgrund der kurzen Dauer des Beitragsausstandes ist denn auch nur auf FÃ¤lle anzuwenden, in denen die Zahlungsmoral der Gesellschaft mit Ausnahme der letzten zwei bis drei Monate vor dem Konkurs immer klaglos war. Vorliegend kam jedoch die Gesellschaft im gesamten kurzen Zeitraum ihrer operativen Existenz vom 20. Juli 2006 bis 30. Oktober 2007 praktisch nie pÃ¼nktlich ihren Zahlungsverpflichtungen gegenÃ¼ber der Beschwerdegegnerin nach.</w:t>
      </w:r>
    </w:p>
    <w:p>
      <w:r>
        <w:t>5.6Â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121 V 243).</w:t>
      </w:r>
    </w:p>
    <w:p>
      <w:r>
        <w:t>5.7Â Â Â Â  Es ist nach Lage der Akten davon auszugehen, dass die Gesellschaft bereits kurze Zeit nach ihrer GrÃ¼ndung unter finanziellen Schwierigkeiten litt und die Beitragszahlungen nur unregelmÃ¤ssig vornahm. Die Ursachen fÃ¼r die finanziellen Schwierigkeiten der A.___ AG sind letztlich fÃ¼r die hier zu beurteilende Streitfrage von untergeordneter Bedeutung: RechtsprechungsgemÃ¤ss kommt bei finanziellen Schwierigkeiten der Grundsatz zum Tragen, dass nur so viel Lohn ausbezahlt werden darf, als die darauf unmittelbar ex lege entstandene Beitragsforderungen gedeckt sind (SVR 1995 AHV Nr. 70 S. 214 E. 5). Vorliegend hing der Fortbestand des Unternehmens nicht von einem vorÃ¼bergehenden Nichtbezahlen der SozialversicherungsbeitrÃ¤ge ab. Vielmehr ist davon auszugehen, dass angesichts der LiquiditÃ¤tsprobleme der Gesellschaft und der UnfÃ¤higkeit, selbst verhÃ¤ltnismÃ¤ssig geringe monatliche RatenbetrÃ¤ge zu leisten, diese nicht davon ausgehen durfte, dass es sich um bloss vorÃ¼bergehende Zahlungsschwierigkeiten handelte, welche durch das Nichtbezahlen der SozialversicherungsbeitrÃ¤ge Ã¼berbrÃ¼ckt werden kÃ¶nnen. Das Verhalten der A.___ AG ist deshalb mindestens als grobfahrlÃ¤ssig zu beurteilen. Die Gesellschaft hat somit den der Beschwerdegegnerin entstandenen Schaden fÃ¼r die ausgefallenen paritÃ¤tischen SozialversicherungsbeitrÃ¤ge (nebst Akzessorien) durch die ihr anzulastenden NormverstÃ¶sse qualifiziert schuldhaft verursacht.</w:t>
      </w:r>
    </w:p>
    <w:p>
      <w:r>
        <w:rPr>
          <w:b/>
        </w:rPr>
        <w:t>E. 6</w:t>
      </w:r>
    </w:p>
    <w:p>
      <w:r>
        <w:t>6.1Â Â Â Â  Zu prÃ¼fen bleibt, ob auch dem belangten Organ widerrechtliche Handlungen und ein Verschulden vorzuwerfen sind.</w:t>
      </w:r>
    </w:p>
    <w:p>
      <w:r>
        <w:t>6.2Â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114 V 213; vgl. auch BGE 129 V 11). Die Organstellung endet mit der tatsÃ¤chlichen Beendigung des Mandates oder dem Ausscheiden aus der Firma und nicht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 5; BGE 134 V 401 E. 5.1).</w:t>
      </w:r>
    </w:p>
    <w:p>
      <w:r>
        <w:t>6.3Â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w:t>
      </w:r>
    </w:p>
    <w:p>
      <w:r>
        <w:t>6.4Â Â Â Â  Der BeschwerdefÃ¼hrer war vom 3. August 2006 bis 26. April 2007 als Mitglied des Verwaltungsrates mit Einzelunterschrift im Handelsregister eingetragen (Urk. 29). Daher kommt ihm formelle Organeigenschaft zu, worauf fÃ¼r die Bejahung der subsidiÃ¤ren Haftbarkeit abzustellen ist (BGE 123 V E. 5b mit Hinweisen).</w:t>
      </w:r>
    </w:p>
    <w:p>
      <w:r>
        <w:t>6.5Â Â Â Â  Als Verwaltungsratsmitglied oblagen dem BeschwerdefÃ¼hrer die allgemeinen Sorgfaltspflichten nach Art. 717 Abs. 1 des Obligationenrechtes (OR) und die Aufsichts- und Kontrollpflichten gemÃ¤ss Art. 716a Abs. 1 Ziff. 5 OR, an welche angesichts der Ã¼berschaubaren Organisationsstruktur der Gesellschaft praxisgemÃ¤ss hohe Anforderungen zu stellen sind (BGE 108 V 203 E. 3b). Eine Verletzung dieser Pflichten ist als grobfahrlÃ¤ssig (vgl. vorstehend E. 5.3) zu werten, sodass der BeschwerdefÃ¼hrer fÃ¼r den der Ausgleichskasse entstandenen Schaden einzustehen hat, sofern keine Rechtfertigungs- oder ExkulpationsgrÃ¼nde vorliegen.</w:t>
      </w:r>
    </w:p>
    <w:p>
      <w:r>
        <w:t>Ob der BeschwerdefÃ¼hrer, wie geltend gemacht, nicht GeschÃ¤ftsfÃ¼hrer gewesen ist und keine Gelegenheit erhielt, Einsicht in sÃ¤mtliche BÃ¼cher zu erhalten (vgl. Urk. 1 S. 2 f.), kann infolge der vorstehend genannten hohen Anforderungen an die Sorgfalts-, Kontroll- und Aufsichtspflicht des Verwaltungsrates nicht berÃ¼cksichtigt werden: Selbst wenn die GeschÃ¤ftsfÃ¼hrung einem anderen Mitglied des Verwaltungsrates obliegt, so handeln weitere Mitglieder schuldhaft, wenn sie die nach den UmstÃ¤nden gebotene Aufsicht nicht ausÃ¼ben. Dies war beim BeschwerdefÃ¼hrer der Fall, hielt er doch selbst fest, er habe in seiner neunmonatigen Amtsdauer nicht ein einziges Mal die Buchhaltung oder weiteres geschÃ¤ftsrelevantes Material einsehen kÃ¶nnen (Urk. 1 S. 3). BezÃ¼glich der ausstehenden SozialversicherungsbeitrÃ¤ge hÃ¤tte dem durch eine einfache Nachfrage bei der Beschwerdegegnerin anlÃ¤sslich seiner AmtsÃ¼bernahme abgeholfen werden kÃ¶nnen.</w:t>
      </w:r>
    </w:p>
    <w:p>
      <w:r>
        <w:t>Weiter ist die Dauer der ZugehÃ¶rigkeit zum Verwaltungsrat bei der Beurteilung der Verletzung von Sorgfaltspflichten entgegen der Vorbringen des BeschwerdefÃ¼hrers (vgl. Urk. 1 S. 2 f.) nicht massgeblich, hingegen bei der Beurteilung der Verantwortlichkeit in zeitlicher Hinsicht (vgl. vorstehend E. 6.2). Diesem Umstand trug die Beschwerdegegnerin im angefochtenen Entscheid Rechnung, indem sie die Haftung des BeschwerdefÃ¼hrers auf den Zeitraum vor seinem Ausscheiden aus dem Verwaltungsrat begrenzte.</w:t>
      </w:r>
    </w:p>
    <w:p>
      <w:r>
        <w:rPr>
          <w:b/>
        </w:rPr>
        <w:t>E. 7</w:t>
      </w:r>
    </w:p>
    <w:p>
      <w:r>
        <w:t>7.1Â Â Â Â  Der BeschwerdefÃ¼hrer ist als Mitglied des Verwaltungsrates der A.___ AG in Bezug auf die GewÃ¤hrleistung der AHV-rechtlichen Arbeitgeberpflichten untÃ¤tig geblieben. Damit ist er der ihm als formellen Organ dieser Gesellschaft obliegenden Pflicht, fÃ¼r eine ordnungsgemÃ¤sse Bezahlung der SozialversicherungsbeitrÃ¤ge zu sorgen, nicht nachgekommen. In Anbetracht der gesamten UmstÃ¤nde ist sein Verhalten als grobfahrlÃ¤ssig zu qualifizieren. Dieses Verhalten ist ohne weiteres als adÃ¤quat kausal (BGE 119 V 406 E. 4a mit Hinweisen, vgl. auch BGE 122 V 189 sowie 119 Ib 343 E. 3c) fÃ¼r den Schaden zu betrachten. Rechtfertigungs- oder ExkulpationsgrÃ¼nde liegen nicht vor. Damit ist der BeschwerdefÃ¼hrer fÃ¼r den der Beschwerdegegnerin entstandenen Schaden nach Art. 52 AHVG in der ihm gegenÃ¼ber geltend gemachten HÃ¶he von Fr. 59Â015.05 Â ersatzpflichtig. Auf die weiteren Vorbringen des BeschwerdefÃ¼hrers ist nicht einzugehen.</w:t>
      </w:r>
    </w:p>
    <w:p>
      <w:r>
        <w:t>7.2Â Â Â Â  Der Beigeladene 1 wies darauf hin, er sei erst am 29. August 2007 in den Verwaltungsrat der A.___ AG eingetreten, weshalb die im vorliegenden Verfahren strittige Schadenersatzforderung einen Zeitraum betreffe, fÃ¼r den ihn keine Verantwortlichkeit treffe. Zudem bestreite er den gesamten geltend gemachten Sachverhalt (Urk. 24 S. 2 f.). Wie es sich damit verhÃ¤lt, kann offen bleiben, da vorliegend einzig die Verantwortlichkeit des BeschwerdefÃ¼hrers zu prÃ¼fen ist. Gleiches gilt fÃ¼r die Stellungnahme des Beigeladenen 2, worin dieser bestreitet, vollamtlicher GeschÃ¤ftsfÃ¼hrer der A.___ AG gewesen zu sein und alle GeschÃ¤fte erledigt zu haben (Urk. 25 S. 2). Das Interesse des Beigeladenen an einer Verfahrensbeteiligung besteht nur, aber immerhin, im Hinblick auf einen allfÃ¤lligen spÃ¤teren Regressprozess, in welchem der dafÃ¼r zustÃ¤ndige Zivilrichter nicht an die Beurteilung des Sozialversicherungsgerichts gebunden ist, diese aber notwendigerweise berÃ¼cksichtigen wird (BGE 119 V 86 E. 5b S. 88). Dementsprechend sind die Vorbringen der Beigeladenen im Rahmen eines allfÃ¤lligen Regressverfahrens zu prÃ¼fen.</w:t>
      </w:r>
    </w:p>
    <w:p>
      <w:r>
        <w:t>7.3Â Â Â Â Â Â Â Â  Zusammenfassend ist festzuhalten, dass sich der angefochtene Einspracheentscheid als rechtens erweist.</w:t>
      </w:r>
    </w:p>
    <w:p>
      <w:r>
        <w:t>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Sozialversicherungsanstalt des Kantons ZÃ¼rich, Ausgleichskasse</w:t>
      </w:r>
    </w:p>
    <w:p>
      <w:r>
        <w:t>- Rechtsanwalt Dr. Ueli Kieser</w:t>
      </w:r>
    </w:p>
    <w:p>
      <w:r>
        <w:t>- Rechtsanwalt Oliver Bulaty</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