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AK.2010.00003 vom 30. Juni 2010</w:t>
      </w:r>
    </w:p>
    <w:p>
      <w:r>
        <w:t>ZH Sozialversicherungsgericht, 2010-06-30, DE</w:t>
      </w:r>
    </w:p>
    <w:p>
      <w:r>
        <w:rPr>
          <w:b/>
        </w:rPr>
        <w:t xml:space="preserve">Quelle: </w:t>
      </w:r>
      <w:r>
        <w:t>https://mcp.opencaselaw.ch/entscheid/zh_sozialversicherungsgericht_AK.2010.00003</w:t>
      </w:r>
    </w:p>
    <w:p>
      <w:r>
        <w:t>FR: ZH_SOZIALVERSICHERUNGSGERICHT AK.2010.00003 du 30 juin 2010</w:t>
      </w:r>
    </w:p>
    <w:p>
      <w:r>
        <w:t>IT: ZH_SOZIALVERSICHERUNGSGERICHT AK.2010.00003 del 30 giugno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1.2.3Â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1.3Â Â Â Â  Im Konkurs der Y.___ wurden - wie erwÃ¤hnt - am 8. Februar 2008 der Kollokationsplan und das Inventar zur Einsicht aufgelegt (Urk. 7/153). Damit wurde die zweijÃ¤hrige VerjÃ¤hrungsfrist von Art. 52 Abs. 3 AHVG ausgelÃ¶st. Mit dem Erlass der SchadenersatzverfÃ¼gung vom 2. Dezember 2009 (Urk. 7/171) wahrte die Beschwerdegegnerin die genannte Frist. Die streitgegenstÃ¤ndliche Forderung ist demnach nicht verjÃ¤hrt.</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 gegenÃ¼ber dem BeschwerdefÃ¼hrer im Wesentlichen auf die Jahresabrechnungen fÃ¼r die Jahre 2005 bis 2007 (Urk. 7/18, 7/99 und 7/144; vgl. auch Urk. 143) sowie den Bericht des Revisors Ã¼ber die Arbeitgeberkontrolle vom 12. Oktober 2007 (Urk.7/142). Im Weiteren liegen die BeitragsÃ¼bersicht vom 23. Februar 2010 (Urk. 7/193), der Kontoauszug desselben Datums (Urk. 7/194), zahlreiche Mahnungen (Urk. 7/24, 7/32, 7/39-40, 7/42-43, 7/48-49, 7/68-71, 7/89, 7/104, 7/109, 7/114 und 7/124), Verzugszinsberechnungen (Urk. 7/21, 7/41, 7/50, 7/81, 7/98, 7/145 und 7/148), Betreibungsbegehren (Urk. 7/71, 7/118 und 7/120), Zahlungsbefehle (Urk. 7/78 und 7/121-122) sowie zwei Verlustausweise infolge Konkurses (Urk. 7/159 und 7/162) bei den Akten.</w:t>
      </w:r>
    </w:p>
    <w:p>
      <w:r>
        <w:t>Â Â Â Â Â Â Â Â  Aus den genannten Jahresabrechnungen und dem Bericht des Revisors ist ersichtlich, dass die Y.___ in den Jahren 2005 bis 2007 (bis zur KonkurserÃ¶ffnung) Lohnzahlungen von insgesamt Fr. 812'849.-- (= Fr. 213'680.-- + Fr. 399'277.-- + Fr. 163'633.-- ./. Fr. 18'557.-- + Fr. 54'816.--) ausgerichtet hat (Urk. 7/18, 7/99 und 7/144 sowie Urk. 7/143 [Korrekturen des Revisors]). Der Ausstand resultiert aus der GegenÃ¼berstellung der gemÃ¤ss Kontoauszug und BeitragsÃ¼bersicht geschuldeten SozialversicherungsbeitrÃ¤ge zuzÃ¼glich Nebenkosten und der von der Y.___ geleisteten Zahlungen. Danach besteht ein Saldo von Fr. 45'173.65 zu Gunsten der Beschwerdegegnerin (Urk. 7/193-194).</w:t>
      </w:r>
    </w:p>
    <w:p>
      <w:r>
        <w:t>2.2.2Â Â  Die SchadenshÃ¶he ist aufgrund der Akten ausgewiesen und wurde vom BeschwerdefÃ¼hrer zu Recht nicht bestritten. Mangels offenkundiger Anhaltspunkte fÃ¼r Berechnungsfehler ist somit die Schadensberechnung der Beschwerdegegnerin in der HÃ¶he von Fr. 45'173.65 zu bestÃ¤tigen.</w:t>
      </w:r>
    </w:p>
    <w:p>
      <w:r>
        <w:t>Â Â Â Â Â Â Â Â  AnzufÃ¼gen bleibt noch, dass der BeschwerdefÃ¼hrer aus dem Umstand, dass die Beschwerdegegnerin gemÃ¤ss Kontoauszug gewisse BetrÃ¤ge erst nach KonkurserÃ¶ffnung in Rechnung stellen konnte, nichts zu seinen Gunsten ableiten kann. Die Beschwerdegegnerin konnte die entsprechenden Rechnungen nÃ¤mlich nicht frÃ¼her ausfertigen, weil die Y.___ beziehungsweise deren einziger Verwaltungsrat, der BeschwerdefÃ¼hrer, ihren Abrechnungspflichten nicht rechtzeitig und korrekt nachgekommen waren. So musste der Revisor der Beschwerdegegnerin nach der KonkurserÃ¶ffnung Ã¼ber die Y.___ die Lohnsummen fÃ¼r die Jahre 2005 und 2006 nachtrÃ¤glich korrigieren (vgl. Urk. 7/143) und die Jahresabrechnung fÃ¼r das Jahr 2007 selbst erstellen. Es bedarf keiner weiteren AusfÃ¼hrungen, dass der BeschwerdefÃ¼hrer von diesen - wie noch zu zeigen sein wird (vgl. Erw. 5) - von ihm zu vertretenden Pflichtwidrigkeiten im Ergebnis nicht noch profitieren kann.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den Akten ist ersichtlich, dass die Y.___ den ihr als Arbeitgeberin obliegenden Zahlungsverpflichtungen in den Jahren 2005 bis 2007 nur unvollstÃ¤ndig nachkam. Es blieben geschuldete SozialversicherungsbeitrÃ¤ge in der HÃ¶he von Fr. 45'173.65 (inklusive Nebenkosten) ungedeckt (Urk. 7/193-194; vgl. auch Erw. 2.2.2). Die Beschwerdegegnerin sah sich aufgrund dieses Zahlungsverhaltens veranlasst, die Y.___ wiederholt zu mahnen und wiederholt Schuldbetreibungsverfahren einzuleiten (vgl. Erw. 2.2.1). Es steht somit fest, dass die Y.___ Vorschriften im Sinne von Art. 52 Abs. 1 AHVG missachtet hat, weshalb der von ihr verursachte Schaden grundsÃ¤tzlich voll zu decken ist.</w:t>
      </w:r>
    </w:p>
    <w:p>
      <w:r>
        <w:t>Â Â Â Â Â Â Â Â  Zu prÃ¼fen bleibt, inwieweit die genannte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E.1b S. 186; ZAK 1985 S. 576 E. 2).</w:t>
      </w:r>
    </w:p>
    <w:p>
      <w:r>
        <w:t>Â Â Â Â Â Â Â Â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5</w:t>
      </w:r>
    </w:p>
    <w:p>
      <w:r>
        <w:t>5.1Â Â Â Â  Der BeschwerdefÃ¼hrer brachte zu seiner Entlastung vor, dass er nur zwei von insgesamt 100 Aktien der Y.___ besessen habe. Er habe nicht am operativen GeschÃ¤ftsbetrieb teilgenommen und keinen Lohn bezogen. Er sei insbesondere nicht fÃ¼r die Administration zustÃ¤ndig gewesen. Im August 2006 habe er erfahren, dass der GeschÃ¤ftsbetrieb nicht stÃ¶rungsfrei laufe. Es habe grÃ¶ssere Probleme mit Kunden gegeben, die ihre Rechnungen nicht oder nur teilweise bezahlt hÃ¤tten. Er habe dann versucht, die Gesellschaft zu sanieren. Die Sanierungsmassnahmen seien aber gescheitert. Er habe pflichtbewusst gehandelt und sich bemÃ¼ht, einen Schaden zu vermeiden (Urk. 1 und 10).</w:t>
      </w:r>
    </w:p>
    <w:p>
      <w:r>
        <w:t>5.2Â Â Â Â Â Â Â Â  Vorweg ist festzuhalten, dass im vorliegenden Prozess nicht zu untersuchen ist, ob der Konkurs der Y.___ allenfalls hÃ¤tte vermieden werden kÃ¶nnen oder ob am vorliegenden Verfahren nicht beteiligten Drittpersonen diesbezÃ¼glich irgendein Schuldvorwurf gemacht werden kÃ¶nnte, sondern einzig zu entscheiden ist, ob die Y.___ die ihr als Arbeitgeberin obliegenden Pflichten verletzt hat, und ob gegebenenfalls ein qualifiziertes Verschulden des BeschwerdefÃ¼hrers zu bejahen ist.</w:t>
      </w:r>
    </w:p>
    <w:p>
      <w:r>
        <w:rPr>
          <w:b/>
        </w:rPr>
        <w:t>E. 5.3</w:t>
      </w:r>
    </w:p>
    <w:p>
      <w:r>
        <w:t>5.3.1Â Â  Der BeschwerdefÃ¼hrer war ab dem 27. August 2004 einziger und einzelzeichnungsberechtigter Verwaltungsrat der Y.___ (Urk. 15). Bei der Y.___ handelte es sich um ein Kleinunternehmen mit einfacher Verwaltungsstruktur und nur wenigen Angestellten (vgl. Urk. 7/18, 7/99 und 7/144). Bei derart leicht Ã¼berschaubaren VerhÃ¤ltnissen muss vom einzigen Verwaltungsrat einer Aktiengesellschaft verlangt werden, dass er den Ãberblick Ã¼ber alle wesentlichen Belange des Unternehmens hat.</w:t>
      </w:r>
    </w:p>
    <w:p>
      <w:r>
        <w:t>Bei einfachen und Ã¼berschaubaren VerhÃ¤ltnissen werden praxisgemÃ¤ss erhÃ¶hte Anforderungen an Kenntnis und Erledigung von Abrechnungs- und Zahlungsverkehr mit der Ausgleichskasse gestellt.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Verwaltungsrat. Deshalb hat sich jedes Mitglied des Verwaltungsrats beziehungsweise der einzige Verwaltungsrat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(BGE 114 V 223 Erw. 4a). Daraus folgt, dass sich der BeschwerdefÃ¼hrer durch das Vorbringen, er sei in der Gesellschaft nicht operativ tÃ¤tig und nicht fÃ¼r administrative Angelegenheiten zustÃ¤ndig gewesen und habe keinen Lohn bezogen, von vornherein nicht entlasten kann. Vielmehr wÃ¤re es seine Pflicht gewesen, die entsprechenden Informationen einzuholen, sich aktiv fÃ¼r die Beitragsentrichtung einzusetzen und demzufolge dafÃ¼r zu sorgen, dass die Y.___ ihre gesetzlichen Abrechungs- und Zahlungspflichten erfÃ¼llt.</w:t>
      </w:r>
    </w:p>
    <w:p>
      <w:r>
        <w:t>Der BeschwerdefÃ¼hrer muss sich somit grundsÃ¤tzlich den Vorhalt gefallen lassen, dass die Y.___ der Beschwerdegegnerin SozialversicherungsbeitrÃ¤ge (inklusive Nebenkosten) in der HÃ¶he von Fr. 45'173.65 (inklusive Nebenkosten) schuldig blieb, jedoch in den Jahren 2005 bis 2007 LÃ¶hne in der GesamthÃ¶he von Fr. 812'849.-- ausrichtete (vgl. Erw. 2.2) Mit anderen Worten wurde den Lohnzahlungen PrioritÃ¤t vor der Beitragsentrichtung eingerÃ¤umt. Indem der BeschwerdefÃ¼hrer nicht gegen diese Praxis der Y.___ einschritt, verletzte er gegenÃ¼ber der Beschwerdegegnerin seine Ã¶ffentlichrechtlichen Pflichten als einziger Verwaltungsrat einer Aktiengesellschaft, hÃ¤tte er doch dafÃ¼r sorgen mÃ¼ssen, dass die Y.___ nur LÃ¶hne ausrichtet, fÃ¼r die die Gesellschaft auch die entsprechenden SozialversicherungsbeitrÃ¤ge zu leisten imstande ist (fÃ¼r viele etwa: Urteil des EidgenÃ¶ssischen Versicherungsgerichts in Sachen A. und B. gegen Ausgleichskasse des Schweizerischen Baumeisterverbandes vom 4. MÃ¤rz 2004, H 34/02, mit Hinweisen).</w:t>
      </w:r>
    </w:p>
    <w:p>
      <w:r>
        <w:t>5.3.2Â Â  Der BeschwerdefÃ¼hrer kann sich zur Rechtfertigung dieses Verstosses gegen die gesetzliche Beitragszahlungspflicht vorliegend nicht auf die oben in Erw. 4.1 wiedergegebene hÃ¶chstrichterliche Praxis berufen, wonach es in schwierigen finanziellen Situationen unter UmstÃ¤nden gerechtfertigt sein kann, die BeitrÃ¤ge nicht zu bezahlen, um die Existenz des Unternehmens zu retten. Es ist nÃ¤mlich zu betonen, dass ein solches Vorgehen nur dann nicht zu einer Haftung nach Art. 52 AHVG fÃ¼hrt, wenn der Arbeitgeber im Zeitpunkt seiner Entscheidung aufgrund der objektiven UmstÃ¤nde und einer seriÃ¶sen Beurteilung der Lage damit rechnen durfte, dass er die Forderung der Ausgleichskasse binnen nÃ¼tzlicher Frist werde befriedigen kÃ¶nnen. Es muss demzufolge sowohl ein materielles, inhaltliches Element (die seriÃ¶sen Sanierungsaussichten) als auch ein zeitliches Element (binnen nÃ¼tzlicher Frist) erfÃ¼llt sein. Nach der klaren Praxis genÃ¼gt hingegen die Aussicht auf eine Befriedigung in fernerer Zukunft (oder gar erst nach DurchfÃ¼hrung eines schuldbetreibungsrechtlichen Verfahrens) nicht zur Entlastung.</w:t>
      </w:r>
    </w:p>
    <w:p>
      <w:r>
        <w:t>Â Â Â Â Â Â Â Â  Soweit vorliegend Ã¼berhaupt von einem eigentlichen Sanierungsplan im Sinne der dargelegten Rechtsprechung gesprochen werden kann, ist festzuhalten, dass an der ausserordentlichen Generalversammlung der Y.___ vom 5. Juni 2007 (Urk. 3/11) zwar Ã¼ber Sanierungsmassnahmen gesprochen und vereinbart wurde, einen Sanierungsplan von einem AktionÃ¤r ausarbeiten zu lassen. Die Erfolgsaussichten eines solchen Plans scheinen aber bereits damals sehr klein gewesen zu sein, nachdem die AktionÃ¤re zuvor eine KapitalerhÃ¶hung abgelehnt hatten und auch die AbklÃ¤rung von Sanierungsmassnahmen nicht auf ungeteilte Zustimmung gestossen war. Schliesslich kam kein Sanierungsplan zustande (vgl. Urk. 3/14). Angesichts der Vorbringen des BeschwerdefÃ¼hrers und der Ã¼brigen Aktenlage ist nichts ersichtlich, das (zu irgendeinem Zeitpunkt) fÃ¼r das Vorhandensein seriÃ¶ser Sanierungsaussichten sprechen wÃ¼rde.</w:t>
      </w:r>
    </w:p>
    <w:p>
      <w:r>
        <w:t>Hinzu kommt, dass die AusstÃ¤nde gegenÃ¼ber der Beschwerdegegnerin zum damaligen Zeitpunkt, als man sich bei der Y.___ Gedanken betreffend Sanierung der Gesellschaft machte, bereits entstanden waren. Im vorliegenden Fall verhÃ¤lt es sich eben nicht so, dass die BeitragsausstÃ¤nde im Rahmen eines seriÃ¶sen Sanierungsplans aufgelaufen wÃ¤ren, um die Existenz des Unternehmens zu retten. Als die BeitragsausstÃ¤nde im Wesentlichen entstanden, war nÃ¤mlich von einem Sanierungsplan noch nicht einmal die Rede. Das Nichtbezahlen der BeitrÃ¤ge war mit anderen Worten nicht Teil eines Sanierungsplans. Daraus folgt, dass sich der BeschwerdefÃ¼hrer zu seiner Entlastung nicht mit Erfolg auf die genannte hÃ¶chstrichterliche Praxis betreffend Sanierungsmassnahmen berufen kann.</w:t>
      </w:r>
    </w:p>
    <w:p>
      <w:r>
        <w:t>5.3.3Â Â Â Â Â Â Â Â  Zusammenfassend lÃ¤sst sich festhalten, dass die prioritÃ¤re Behandlung der Lohnzahlungen durch die Y.___ nicht zu rechtfertigen war. Der BeschwerdefÃ¼hrer hÃ¤tte als einziger Verwaltungsrat der Y.___ gegen diese Praxis einschreiten mÃ¼ssen. Rechtfertigungs- oder SchuldausschlussgrÃ¼nde liegen nach dem Gesagten nicht vor.</w:t>
      </w:r>
    </w:p>
    <w:p>
      <w:r>
        <w:t>6.Â Â Â Â Â Â  Unter den gegebenen UmstÃ¤nden ist das Verhalten beziehungsweise die PassivitÃ¤t des BeschwerdefÃ¼hrers ohne weiteres auch als adÃ¤quat kausal (BGE 119 V 406 Erw. 4a mit Hinweisen) fÃ¼r den bei der Beschwerdegegnerin eingetretenen (vorliegend relevanten) Schaden in der HÃ¶he von Fr. 45'173.65 (vgl. Erw. 2.2) zu betrachten, weshalb er zu Recht verpflichtet wurde, dafÃ¼r Ersatz zu leisten. Demzufolge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