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AK.2010.00001 vom 16. August 2011</w:t>
      </w:r>
    </w:p>
    <w:p>
      <w:r>
        <w:t>ZH Sozialversicherungsgericht, 2011-08-16, DE</w:t>
      </w:r>
    </w:p>
    <w:p>
      <w:r>
        <w:rPr>
          <w:b/>
        </w:rPr>
        <w:t xml:space="preserve">Quelle: </w:t>
      </w:r>
      <w:r>
        <w:t>https://mcp.opencaselaw.ch/entscheid/zh_sozialversicherungsgericht_AK.2010.00001</w:t>
      </w:r>
    </w:p>
    <w:p>
      <w:r>
        <w:t>FR: ZH_SOZIALVERSICHERUNGSGERICHT AK.2010.00001 du 16 août 2011</w:t>
      </w:r>
    </w:p>
    <w:p>
      <w:r>
        <w:t>IT: ZH_SOZIALVERSICHERUNGSGERICHT AK.2010.00001 del 16 agosto 2011</w:t>
      </w:r>
    </w:p>
    <w:p>
      <w:pPr>
        <w:pStyle w:val="Heading2"/>
      </w:pPr>
      <w:r>
        <w:t>Erwägungen</w:t>
      </w:r>
    </w:p>
    <w:p>
      <w:r>
        <w:rPr>
          <w:b/>
        </w:rPr>
        <w:t>E. 3</w:t>
      </w:r>
    </w:p>
    <w:p>
      <w:r>
        <w:t>3.1Â Â Â Â  Des weiteren zu prÃ¼fen ist die Haftungsvoraussetzung des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3.2Â Â Â Â  Dem von der Beschwerdegegnerin geltend gemachten Schaden in der HÃ¶he von Fr. 205'782.70 liegen ausstehende BeitrÃ¤ge fÃ¼r den Zeitraum vom 1. April 2004 bis zum 26. September 2008 zugrunde (vgl. Urk. 7/156). Bei den Akten liegen entsprechende Jahresabrechnungen (Urk. 7/15; Urk. 7/32; Urk. 7/58; Urk. 7/97; Urk. 7/99), zahlreiche Mahnungen (Urk. 7/5; Urk. 7/9; Urk. 7/16; Urk. 7/20-21; Urk. 7/26; Urk. 7/35; Urk. 7/44-45; Urk. 7/47; Urk. 7/60; Urk. 7/67; Urk. 7/73; Urk. 7/74-76; Urk. 7/80; Urk. 7/82; Urk. 7/85; Urk. 7/88; Urk. 7/90; Urk. 7/92-93; Urk. 7/103-104), Betreibungen (Urk. 7/10; Urk. 7/23; Urk. 7/50; Urk. 7/77; Urk. 7/81; Urk. 7/83; Urk. 7/86; Urk. 7/91; Urk. 7/94; Urk. 7/105), Zahlungsbefehle (Urk. 7/12; Urk. 7/25; Urk. 7/55; Urk. 7/78-79; Urk. 7/84; Urk. 7/87; Urk. 7/89; Urk. 7/95-96; Urk. 7/100-102; Urk. 7/133-135) und Verlustscheine (Urk. 7/124-132). Aus diesen Unterlagen und insbesondere aus der Aufstellung Ã¼ber ausstehende Beitragszahlungen, Verzugszinsen und MahngebÃ¼hren (Urk. 7/157) ist ersichtlich, dass sich der geltend gemachte Schaden aus der GegenÃ¼berstellung der gemÃ¤ss Konto-Auszug geschuldeten SozialversicherungsbeitrÃ¤ge zuzÃ¼glich Verzugszinsen, MahngebÃ¼hren und Betreibungskosten und der von der Y.___ GmbH geleisteten Zahlungen ergibt. Diese GegenÃ¼berstellung ist im Konto-Auszug vom 9. Februar 2010 nachvollziehbar dargestellt. Die Beschwerdegegnerin kam im Umfang der geltend gemachten Schadenersatzforderung zu 100 % zu Verlust.</w:t>
      </w:r>
    </w:p>
    <w:p>
      <w:r>
        <w:t>Damit steht fest, dass der von der Beschwerdegegnerin geforderte Schadensbetrag korrekt errechnet wurde.</w:t>
      </w:r>
    </w:p>
    <w:p>
      <w:r>
        <w:rPr>
          <w:b/>
        </w:rPr>
        <w:t>E. 4</w:t>
      </w:r>
    </w:p>
    <w:p>
      <w:r>
        <w:t>4.1Â Â Â Â  Zu prÃ¼fen ist die weitere Haftungsvoraussetzung der Widerrechtlichkeit.</w:t>
      </w:r>
    </w:p>
    <w:p>
      <w:r>
        <w:t>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 S. 529).</w:t>
      </w:r>
    </w:p>
    <w:p>
      <w:r>
        <w:t>Nach Art. 34 Abs. 1 lit. a AHVV haben die Arbeitgeber der Ausgleichskasse die BeitrÃ¤ge monatlich oder, bei jÃ¤hrlichen Lohnsummen unter 200Â000 Franken, vierteljÃ¤hrlich zu bezahlen. GemÃ¤ss Art. 35 Abs. 1 AHVV haben die Arbeitgeber im laufenden Jahr periodisch AkontobeitrÃ¤ge zu entrichten. Diese werden von der Ausgleichskasse auf Grund der voraussichtlichen Lohnsumme des Beitragsjahres festgesetzt.</w:t>
      </w:r>
    </w:p>
    <w:p>
      <w:r>
        <w:t>4.2Â Â Â Â  Aus den Akten ist ersichtlich, dass die Y.___ GmbH den ihr als Arbeitgeberin obliegenden Zahlungsverpflichtungen seit 2004 - die GrÃ¼ndung erfolgte am 12. MÃ¤rz 2004 (vgl. Urk. 7/3/1) - mehrheitlich verspÃ¤tet oder gar nicht nachgekommen ist. Die BeitrÃ¤ge wurden sehr unregelmÃ¤ssig bezahlt und die Gesellschaft musste regelmÃ¤ssig gemahnt werden und Verzugszinsen bezahlen (vgl. vorstehend E. 3.2; Urk. 7/156). Die Beschwerdegegnerin musste der Gesellschaft zudem ab April 2006 Zahlungsaufschub und Ratenzahlung gewÃ¤hren, wofÃ¼r wiederum Mahnungen notwendig waren (vgl. Urk. 7/41; Urk. 7/44; Urk. 7/47; Urk. 7/49; Urk. 7/57; Urk. 7/64), sowie Betreibungen erheben, die schlussendlich zu Verlustscheinen fÃ¼hrten (vgl. vorstehend E. 3.2). Die geschuldeten BeitrÃ¤ge blieben zu einem erheblichen Teil unbezahlt, was zum Schaden der Beschwerdegegnerin fÃ¼hrte. Die Gesellschaft hat damit die gesetzlichen Abrechnungs- und Beitragszahlungspflichten von Art. 14 AHVG und Art. 34 ff. AHVV und somit Vorschriften im Sinne von Art. 52 AHVG verletzt, weshalb die Haftungsvoraussetzung der Widerrechtlichkeit rechtsprechungsgemÃ¤ss zu bejahen ist.</w:t>
      </w:r>
    </w:p>
    <w:p>
      <w:r>
        <w:rPr>
          <w:b/>
        </w:rPr>
        <w:t>E. 5</w:t>
      </w:r>
    </w:p>
    <w:p>
      <w:r>
        <w:t>5.1Â Â Â Â  Nebst dem Erfordernis des widerrechtlichen Vorgehens muss der Schaden der Beschwerdegegnerin in qualifiziert schuldhafter Weise durch die Arbeitgeberin verursacht worden sein.</w:t>
      </w:r>
    </w:p>
    <w:p>
      <w:r>
        <w:t>5.2Â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t>5.3Â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S. 159 mit Hinweisen; vgl. BGE 132 III 523 E. 4.6 S. 529).</w:t>
      </w:r>
    </w:p>
    <w:p>
      <w:r>
        <w:t>5.4Â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WÃ¼rdigung sÃ¤mtlicher konkreter UmstÃ¤nde des Einzelfalles Platz zu greifen hat (BGE 124 V 253, 121 V 244 E. 4b mit Hinweis; 108 V 186 E. 1b; 108 V 200 E. 1; Urteile des damaligen EidgenÃ¶ssischen Versicherungsgerichts, EVG, in Sachen T. und M. vom 8. Juli 2003, H 141/01 und in Sachen S. vom 25. Mai 2004, H 307/03).</w:t>
      </w:r>
    </w:p>
    <w:p>
      <w:r>
        <w:t>5.5Â Â Â Â  Vorliegend steht die verhÃ¤ltnismÃ¤ssig lange Dauer des Normverstosses der Annahme entlastender Momente entgegen. Aus den Akten ist ersichtlich, dass die Y.___ GmbH am 21. Juni 2004 (Urk. 7/5) erstmals gemahnt wurde und seither mit der Begleichung der geschuldeten BeitrÃ¤ge wiederholt in Verzug geriet, so dass sie mehrfach und mit einer gewissen RegelmÃ¤ssigkeit gemahnt und betrieben werden musste (vgl. vorstehend E. 3.2 und Urk. 7/157).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 4b/bb und in Sachen K. vom 16. Mai 2002, H 44/01). Dies ist vorliegend nicht der Fall und wird auch nicht geltend gemacht.</w:t>
      </w:r>
    </w:p>
    <w:p>
      <w:r>
        <w:t>5.6Â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 6.2.3 und in Sachen S. vom 19. Dezember 2003, H 101/01 E. 4.2).</w:t>
      </w:r>
    </w:p>
    <w:p>
      <w:r>
        <w:t>Es ist nach Lage der Akten davon auszugehen, dass die Gesellschaft bereits kurze Zeit nach der GrÃ¼ndung unter finanziellen Schwierigkeiten litt und die Beitragszahlungen nur unregelmÃ¤ssig vornahm. Zwar wurde ihr fÃ¼r BeitrÃ¤ge der Jahre 2005, 2006 und 2007 ein Zahlungsaufschub mit Ratenzahlung gewÃ¤hrt (vgl. Urk. 7/39 und Urk. 7/41; Urk. 7/49; Urk. 7/64), die Zahlungsvereinbarungen wurde jedoch nicht oder nicht pÃ¼nktlich eingehalten (vgl. Urk. 7/44; Urk. 7/47; Urk. 7/57). Nachdem es sich dabei bereits um namhafte BetrÃ¤ge handelte und die Beitragspflicht weiter lief, konnte die Gesellschaft nach Lage der Akten nicht ernsthaft damit rechnen, die Beitragsschuld innert nÃ¼tzlicher Frist tilgen zu kÃ¶nnen.</w:t>
      </w:r>
    </w:p>
    <w:p>
      <w:r>
        <w:t>5.7Â Â Â Â  Die Ursachen fÃ¼r die finanziellen Schwierigkeiten der Y.___ GmbH sind letztlich fÃ¼r die hier zu beurteilende Streitfrage von untergeordneter Bedeutung: RechtsprechungsgemÃ¤ss kommt bei finanziellen Schwierigkeiten der Grundsatz zum Tragen, dass nur soviel Lohn ausbezahlt werden darf, als die darauf unmittelbar ex lege entstandenen Beitragsforderungen gedeckt sind (SVR 1995 AHV Nr. 70 S. 214 E. 5; Urteile des EVG in Sachen M. vom 2. Dezember 2003, H 295/02, E. 5.2.3; in Sachen B. vom 26. September 2001, H 19/01, E. 3). Vorliegend hing der Fortbestand des Unternehmens nicht von einem vorÃ¼bergehenden Nichtbezahlen der SozialversicherungsbeitrÃ¤ge ab. Vielmehr ist davon auszugehen, dass angesichts der LiquiditÃ¤tsprobleme der Gesellschaft und der UnfÃ¤higkeit, selbst verhÃ¤ltnismÃ¤ssig geringe monatliche RatenbetrÃ¤ge zu leisten, diese nicht davon ausgehen durfte, dass es sich um bloss vorÃ¼bergehende Zahlungsschwierigkeiten handelte, welche durch das Nichtbezahlen der SozialversicherungsbeitrÃ¤ge Ã¼berbrÃ¼ckt werden kÃ¶nnen. Hinzu kommt, dass es nicht Aufgabe der Ausgleichskassen ist, den ihnen angeschlossenen Arbeitgebern als Bank zu dienen und LiquiditÃ¤tsengpÃ¤sse zu Ã¼berbrÃ¼cken. Das Verhalten der Gesellschaft ist deshalb als mindestens grobfahrlÃ¤ssig zu beurteilen. Die Y.___ GmbH hat somit den der Beschwerdegegnerin entstandenen Schaden fÃ¼r die ausgefallenen paritÃ¤tischen SozialversicherungsbeitrÃ¤ge (nebst Akzessorien) durch die ihr anzulastenden NormverstÃ¶sse qualifiziert schuldhaft verursacht.</w:t>
      </w:r>
    </w:p>
    <w:p>
      <w:r>
        <w:rPr>
          <w:b/>
        </w:rPr>
        <w:t>E. 6</w:t>
      </w:r>
    </w:p>
    <w:p>
      <w:r>
        <w:t>6.1Â Â Â Â  Zu prÃ¼fen bleibt, ob auch dem belangten Organ widerrechtliche Handlungen und ein Verschulden vorgeworfen werden kÃ¶nnen.</w:t>
      </w:r>
    </w:p>
    <w:p>
      <w:r>
        <w:t>6.2Â Â Â Â  Die subsidiÃ¤re Haftung natÃ¼rlicher Personen nach Art. 52 Abs. 1 AHVG setzt formelle oder faktische (materielle) Organstellung beim beitragspflichtigen Arbeitgeber voraus. Bei einer Aktiengesellschaft sind alle Mitglieder des Verwaltungsrates unabhÃ¤ngig davon, welche Aufgaben sie tatsÃ¤chlich erfÃ¼llen, Organ im formellen Sinn. Anderen Personen kommt faktisch Organstellung zu, wenn sie tatsÃ¤chlich die Funktion von Organen erfÃ¼llen, indem sie diesen vorbehaltene Entscheide treffen oder die eigentliche GeschÃ¤ftsfÃ¼hrung besorgen und so die Willensbildung der Gesellschaft massgebend mitbestimmen (BGE 132 III 523 E. 4.5 S. 528; 114 V 213; vgl. auch BGE 129 V 11). Die Organstellung endet mit der tatsÃ¤chlichen Beendigung des Mandates oder dem Ausscheiden aus der Firma und nicht etwa erst mit der LÃ¶schung einer bestimmten Eintragung im Handelsregister (BGE 126 V 61). Die Schadenersatzpflicht nach Art. 52 Abs. 1 AHVG reicht grundsÃ¤tzlich nur soweit, als die betreffende Person in Bezug auf die nicht bezahlten BeitrÃ¤ge disponieren und Zahlungen an die Ausgleichskasse veranlassen konnte (vgl. BGE 103 V 123 E. 5; BGE 134 V 401 E. 5.1).</w:t>
      </w:r>
    </w:p>
    <w:p>
      <w:r>
        <w:t>6.3Â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6.4Â Â Â Â  Der BeschwerdefÃ¼hrer war seit der GrÃ¼ndung der Y.___ GmbH GeschÃ¤ftsfÃ¼hrer und Gesellschafter mit Einzelzeichnungsberechtigung (Urk. 7/1; Urk. 7/158). Ihm kommt somit formelle Organeigenschaft zu. Darauf ist fÃ¼r die Bejahung der subsidiÃ¤ren Haftbarkeit (Passivlegitimation nach Art. 52 AHVG) abzustellen (BGE 123 V 15 E. 5b mit Hinweisen).</w:t>
      </w:r>
    </w:p>
    <w:p>
      <w:r>
        <w:t>Als GeschÃ¤ftsfÃ¼hrer einer GmbH oblagen dem BeschwerdefÃ¼hrer gemÃ¤ss Art. 810 Abs. 2 des Obligationenrechts (OR) unter anderem folgende unÃ¼bertragbare und unentziehbare Aufgaben:</w:t>
      </w:r>
    </w:p>
    <w:p>
      <w:r>
        <w:t>Â Â Â Â Â Â Â Â  1. Â  die Oberleitung der Gesellschaft und die Erteilung der nÃ¶tigen Weisungen;</w:t>
      </w:r>
    </w:p>
    <w:p>
      <w:r>
        <w:t>Â Â Â Â Â Â Â Â  2. Â  die Festlegung der Organisation im Rahmen von Gesetz und Statuten;</w:t>
      </w:r>
    </w:p>
    <w:p>
      <w:r>
        <w:t>Â Â Â Â Â Â Â Â  3. Â  die Ausgestaltung des Rechnungswesens und der Finanzkontrolle sowie der Finanzplanung, sofern diese fÃ¼r die FÃ¼hrung der Gesellschaft notwendig ist;</w:t>
      </w:r>
    </w:p>
    <w:p>
      <w:r>
        <w:t>Â Â Â Â Â Â Â Â  4. Â  die Aufsicht Ã¼ber die Personen, denen Teile der GeschÃ¤ftsfÃ¼hrung Ã¼bertra-Â Â  gen sind, namentlich im Hinblick auf die Befolgung der Gesetze, Statuten, Â Â Â Â Â Â Â  Reglemente und Weisungen.</w:t>
      </w:r>
    </w:p>
    <w:p>
      <w:r>
        <w:t>6.5Â Â Â Â  Insbesondere war der BeschwerdefÃ¼hrer als GeschÃ¤ftsfÃ¼hrer der Y.___ GmbH verpflichtet, fÃ¼r die ErfÃ¼llung der Beitragspflicht gegenÃ¼ber der Ausgleichskasse besorgt zu sein. An die ihm als GeschÃ¤ftsfÃ¼hrer obliegenden Sorgfaltspflichten sind angesichts der einfachen Organisationsstruktur der Gesellschaft praxisgemÃ¤ss hohe Anforderungen zu stellen (BGE 108 V 203 E. 3b). Eine Verletzung dieser Pflichten ist als grobfahrlÃ¤ssig zu werten, sodass der BeschwerdefÃ¼hrer fÃ¼r den der Ausgleichskasse entstandenen Schaden einzustehen hat, sofern keine Rechtfertigungs- oder ExkulpationsgrÃ¼nde vorliegen (vgl. Urteil des EVG in Sachen D. vom 25. Mai 2007, H 63/05, E. 6.4).</w:t>
      </w:r>
    </w:p>
    <w:p>
      <w:r>
        <w:t>7.Â Â Â Â Â Â  Der BeschwerdefÃ¼hrer ist als GeschÃ¤ftsfÃ¼hrer und Gesellschafter der Y.___ GmbH in Bezug auf die GewÃ¤hrleistung der AHV-rechtlichen Arbeitgeberpflichten weitgehend untÃ¤tig geblieben. Damit ist er der ihm als formellem Organ dieser Gesellschaft obliegenden Pflicht, fÃ¼r eine ordnungsgemÃ¤sse Bezahlung der SozialversicherungsbeitrÃ¤ge zu sorgen, nicht nachgekommen. Dass er sich um diese Pflicht geradezu foutierte, folgt aus der wiederholten BeschÃ¤ftigung von Schwarzarbeitern (vgl. Urk. 7/43/6). In Anbetracht der gesamten UmstÃ¤nde ist sein Verhalten als grobfahrlÃ¤ssig zu qualifizieren. Dieses Verhalten ist ohne weiteres als adÃ¤quat kausal (BGE 119 V 406 E. 4a mit Hinweisen, vgl. auch BGE 122 V 189 sowie 119 Ib 343 E. 3c) fÃ¼r den Schaden zu betrachten. Damit ist der BeschwerdefÃ¼hrer fÃ¼r den der Beschwerdegegnerin entstandenen Schaden nach Art. 52 AHVG in der nach der Einstellung des Konkursverfahrens verbleibenden HÃ¶he von Fr. 205'782.70 ersatzpflichtig. Auf die weiteren Vorbringen des BeschwerdefÃ¼hrers ist nicht einzugehen; insbesondere (vgl. Urk. 1 S. 10 f.) ist es nicht Aufgabe der Ausgleichskasse, fÃ¼r die rechtzeitige Begleichung der BeitrÃ¤ge besorgt zu sein und finanzplanerische Aufgaben zu Ã¼bernehmen, die die Gesellschaft selbst beziehungsweise ihre Organe zu erfÃ¼llen haben.</w:t>
      </w:r>
    </w:p>
    <w:p>
      <w:r>
        <w:t>Der angefochtene Einspracheentscheid vom 10. Dezember 2009, auf den vollumfÃ¤nglich verwiesen wird, ist demnach nicht zu beanstanden. Dies fÃ¼hrt zur Abweisung der Beschwerde, weshalb auf die FeststellungsantrÃ¤ge des BeschwerdefÃ¼hrers (Urk. 1 S. 2) nicht einzugehen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Franz Breitenmoser</w:t>
      </w:r>
    </w:p>
    <w:p>
      <w:r>
        <w:t>- Sozialversicherungsanstalt des Kantons ZÃ¼rich, Ausgleichskasse</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