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AK.2009.00025 vom 30. April 2011</w:t>
      </w:r>
    </w:p>
    <w:p>
      <w:r>
        <w:t>ZH Sozialversicherungsgericht, 2011-04-30, DE</w:t>
      </w:r>
    </w:p>
    <w:p>
      <w:r>
        <w:rPr>
          <w:b/>
        </w:rPr>
        <w:t xml:space="preserve">Quelle: </w:t>
      </w:r>
      <w:r>
        <w:t>https://mcp.opencaselaw.ch/entscheid/zh_sozialversicherungsgericht_AK.2009.00025</w:t>
      </w:r>
    </w:p>
    <w:p>
      <w:r>
        <w:t>FR: ZH_SOZIALVERSICHERUNGSGERICHT AK.2009.00025 du 30 avril 2011</w:t>
      </w:r>
    </w:p>
    <w:p>
      <w:r>
        <w:t>IT: ZH_SOZIALVERSICHERUNGSGERICHT AK.2009.00025 del 30 aprile 2011</w:t>
      </w:r>
    </w:p>
    <w:p>
      <w:pPr>
        <w:pStyle w:val="Heading2"/>
      </w:pPr>
      <w:r>
        <w:t>Erwägungen</w:t>
      </w:r>
    </w:p>
    <w:p>
      <w:r>
        <w:rPr>
          <w:b/>
        </w:rPr>
        <w:t>E. 3</w:t>
      </w:r>
    </w:p>
    <w:p>
      <w:r>
        <w:t>3.1Â Â Â Â  Art. 14 Abs. 1 AHVG und dieÂ  Art. 34 ff.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195 Erw. 2a; vgl. BGE 132 III 523 Erw. 4.6 S. 529).</w:t>
      </w:r>
    </w:p>
    <w:p>
      <w:r>
        <w:t>3.2Â Â Â Â  Die Gesellschaft hatte die SozialversicherungsbeitrÃ¤ge monatlich, aufgrund einer Pauschale (Urk. 12/450 [Kontoauszug vom 24. August 2009]) zu entrichten. Die fÃ¼r eine Zahlungsperiode geschuldeten BeitrÃ¤ge sind jeweils innert zehn Tagen nach deren Ablauf zu bezahlen (Art. 34 Abs. 3 AHVV). Die Arbeitgeber haben die LÃ¶hne innert 30 Tagen nach Ablauf der Abrechnungsperiode abzurechnen (Art. 36 Abs. 2 AHVV); die Abrechnungsperiode umfasst das Kalenderjahr (Art. 36 Abs. 3 Satz 1 AHVV).</w:t>
      </w:r>
    </w:p>
    <w:p>
      <w:r>
        <w:t>Â Â Â Â Â Â Â Â  Es ist aktenkundig, dass die Unternehmung ihrer Zahlungspflicht lediglich in den ersten Jahren nach der GrÃ¼ndung ordnungsgemÃ¤ss nachgekommen ist und die in Rechnung gestellten BeitrÃ¤ge im Grossen und Ganzen pÃ¼nktlich bezahlt hat (Urk. 12/450 S. 1-7). Ab Mai 1999 sind erste MahngebÃ¼hren verzeichnet (Urk. 12/450 S. 7; vgl. auch Urk. 12/64, 12/72, 12/80), und ab September 2003 mussten wiederholt Rechnungen in Betreibung gesetzt werden (Urk. 12/450 S. 23 ff. sowie Urk. 12/449 S. 5-7 [BeitragsÃ¼bersicht vom 24. August 2009] sowie beispielhaft Urk. 12/87, 12/92, 12/97, 12/102 und 12/155/1-5 sowie Urk. 12/155/7-8), wobei hÃ¤ufig kein Rechtsvorschlag erhoben wurde (Urk. 12/89, 12/93, 12/99, 12/107 und 12/120). Teilweise wurden die ausstehenden BeitrÃ¤ge auf Betreibung hin schliesslich bezahlt (Urk. 12/450 S. 24 [2003 0015], Urk. 12/450 S. 25 [2003 0019] und Urk. 12/450 S. 26 ff.); teilweise musste die Beschwerdegegnerin jedoch - weil Rechtsvorschlag erhoben worden war - VeranlagungsverfÃ¼gungen erlassen und den Rechtsvorschlag aufheben (Urk. 12/165-171) und nicht zuletzt auch PfÃ¤ndungen veranlassen (Urk. 12/232 und 12/252/1-15).</w:t>
      </w:r>
    </w:p>
    <w:p>
      <w:r>
        <w:t>Â Â Â Â Â Â Â Â  Verschiedentlich wurde dem Unternehmen ein Zahlungsaufschub bewilligt, und es wurden Ratenzahlungen vereinbart (Urk. 12/121/1-2, 12/164 und 12/189/1-3); nicht immer wurden diese eingehalten (Urk. 12/125). Hierzu ist festzuhalten, dass die Bewilligung von Abschlagszahlungen nicht davon entbindet, die laufend geschuldeten BeitrÃ¤ge ungeschmÃ¤lert zu bezahlen. GÃ¤nzlich unbezahlt blieben die Nachtragsforderung fÃ¼r die Jahre 2000 bis 2003 sowie aufgrund der Schlussabrechnung fÃ¼r das Jahr 2004 geschuldete und paritÃ¤tische BeitrÃ¤ge seit dem 1. Januar 2005 (Urk. 12/450 S. 31 ff.).</w:t>
      </w:r>
    </w:p>
    <w:p>
      <w:r>
        <w:t>Â Â Â Â Â Â Â Â  Aber nicht nur die Zahlungspflicht wurde verletzt, vielmehr kam das Unternehmen auch der ihm obliegenden Abrechnungspflicht nur ungenÃ¼gend nach, wurden doch die Jahresrechnungen nie innert Frist bis zum 31. Januar des Folgejahres, sondern immer - teils sogar mit erheblicher - VerspÃ¤tung eingereicht (Urk. 12/40, 12/50, 12/103, 12/150, 12/190 und 12/316).</w:t>
      </w:r>
    </w:p>
    <w:p>
      <w:r>
        <w:t>Â Â Â Â Â Â Â Â  Die wiederholte Verletzung der gesetzlichen Abrechnungs- und Beitragspflichten durch die konkursite Gesellschaft ist nach der Aktenlage ausreichend nachgewiesen, weshalb die Haftungsvoraussetzung der Widerrechtlichkeit rechtsprechungsgemÃ¤ss zu bejahen ist.</w:t>
      </w:r>
    </w:p>
    <w:p>
      <w:r>
        <w:t>Â Â Â Â Â Â Â Â  Zu prÃ¼fen bleibt, inwieweit die genannte Missachtung Ã¶ffentlichrechtlicher Arbeitgeberpflichten auf grobfahrlÃ¤ssiges oder vorsÃ¤tzliches Verhalten der BeschwerdefÃ¼hrenden zurÃ¼ckzufÃ¼hren ist.</w:t>
      </w:r>
    </w:p>
    <w:p>
      <w:r>
        <w:rPr>
          <w:b/>
        </w:rPr>
        <w:t>E. 4</w:t>
      </w:r>
    </w:p>
    <w:p>
      <w:r>
        <w:t>4.1Â Â Â Â  Haftungsvoraussetzung ist die Organstellung der Pflichtigen. Einem Mitglied des Verwaltungsrates kommt formelle Organeigenschaft zu. Darauf stellt das Bundesgericht (vormals EidgenÃ¶ssisches Versicherungsgericht) in konstanter Rechtsprechung fÃ¼r die Bejahung der subsidiÃ¤ren Haftbarkeit (Passivlegitimation nach Art. 52 AHVG) ab (BGE 123 V 15 Erw. 5b mit Hinweis; Urteil des EidgenÃ¶ssischen Versicherungsgerichtes in Sachen T. vom 21. November 2000, H 37/00, Erw. 3a).</w:t>
      </w:r>
    </w:p>
    <w:p>
      <w:r>
        <w:t>Â Â Â Â Â Â 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Erw. 4a, 123 V 173 Erw. 3a).</w:t>
      </w:r>
    </w:p>
    <w:p>
      <w:r>
        <w:t>4.2Â Â Â Â  Die BeschwerdefÃ¼hrenden waren seit der GrÃ¼ndung der konkursiten A.___-GebÃ¤udereinigungen AG am 16. Januar 1996 als VerwaltungsrÃ¤te im Handelsregister eingetragen. Dabei amtete der BeschwerdefÃ¼hrer als PrÃ¤sident des Verwaltungsrats und verfÃ¼gte Ã¼ber Einzelunterschrift, wÃ¤hrend die BeschwerdefÃ¼hrerin als VerwaltungsrÃ¤tin zusammen mit dem weiteren Verwaltungsrat, Z.___, kollektiv zu zweien zeichnungsberechtigt war (Urk. 12/448). Damit ist ihre (solidarische) Haftbarkeit als formelle Organe bis zu ihrem RÃ¼cktritt aus dem Verwaltungsrat am 26. September 2005 - Y.___ - beziehungsweise 18. November 2005 - X.___ - grundsÃ¤tzlich gegeben, und sie waren verantwortlich fÃ¼r das Abrechnungswesen und die Beitragszahlungen. Dabei ist anzumerken, dass Z.___ seine Haftbarkeit nicht in Abrede stellt, hat er doch gegen den ihn betreffenden Einspracheentscheid vom 9. Februar 2010 (Urk. 30) keine Beschwerde erhoben.</w:t>
      </w:r>
    </w:p>
    <w:p>
      <w:r>
        <w:t>4.3Â Â Â Â  Der BeschwerdefÃ¼hrer liess zum zeitlichen Umfang seiner Haftbarkeit vorbringen (Urk. 12/430/1-5 und Urk. 14/1), er habe am 14. Februar 1998 einen schweren Unfall erlitten und sei anschliessend vollstÃ¤ndig arbeitsunfÃ¤hig gewesen. Aufgrund der Folgen des Unfalles beziehe er seit dem 1. Februar 1999 eine ganze Invalidenrente (Urk. 14/3/5), Leistungen der Schweizerischen Unfallversicherungsanstalt (SUVA; Urk. 14/3/4) sowie der Pensionskasse. Er sei deshalb nicht mehr in der Lage gewesen, in irgendeiner Form fÃ¼r die Aktiengesellschaft zu handeln, Weisungen zu erteilen, sich nach dem GeschÃ¤ftsgang zu erkundigen oder an Verwaltungsratssitzungen oder Gesellschafterversammlungen teilzunehmen und habe es versehentlich auch unterlassen - da er sich hauptsÃ¤chlich mit seiner Genesung beschÃ¤ftigt habe - seinen formellen RÃ¼cktritt aus dem Verwaltungsrat zu erklÃ¤ren (Urk. 12/430/2). Nach dem Unfall sei das Unternehmen vom MitaktionÃ¤r und GeschÃ¤ftsfÃ¼hrer Z.___ alleine gefÃ¼hrt worden (Urk. 12/430/2). Erst im Zusammenhang mit gÃ¼terrechtlichen AbklÃ¤rungen im Rahmen des Ehescheidungsverfahrens sei im Jahr 2005 festgestellt worden, dass er immer noch im Handelsregister eingetragen gewesen sei, so dass die sofortige LÃ¶schung veranlasst worden sei (Urk. 14/1 S. 3). Dessen ungeachtet sei seine Funktion im Verwaltungsrats des Unternehmens aber aufgrund der nicht erfolgten Wiederwahl lÃ¤ngst beendet gewesen, zumal eine stillschweigende Wiederwahl nicht leichthin angenommen werden kÃ¶nne (Urk. 14/1 S. 4).</w:t>
      </w:r>
    </w:p>
    <w:p>
      <w:r>
        <w:t>4.4Â Â Â Â  Der BeschwerdefÃ¼hrer lÃ¤sst seine Haftbarkeit nach dem 14. Februar 1998 aus gesundheitlichen GrÃ¼nden und gegebenenfalls infolge unterbliebener Wiederwahl als Verwaltungsrat bestreiten, weshalb der Frage nachzugehen ist, ob bereits zu jenem Zeitpunkt ein faktischer RÃ¼cktritt als Verwaltungsrat vorgelegen hat.</w:t>
      </w:r>
    </w:p>
    <w:p>
      <w:r>
        <w:t>Â Â Â Â Â Â Â Â  Das damalige EidgenÃ¶ssische Versicherungsgericht hat in BGE 126 V 61 seine Rechtsprechung bestÃ¤tigt, wonach fÃ¼r die Dauer der Haftung des Verwaltungsratsmitglieds der Zeitpunkt der tatsÃ¤chlichen Beendigung des Mandats massgebend ist (Erw. 4a). Auf diesen Zeitpunkt sei selbst dann abzustellen, wenn die LÃ¶schung des Eintrages im Handelsregister unterlassen werde (Erw. 4c). Diese Rechtsprechung sei auch in FÃ¤llen anwendbar, in denen das Verwaltungsratsmandat zufolge fehlender Wiederwahl nach Ablauf der gesetzlichen oder statutarischen Amtsdauer beendet werde, wenn besondere VerhÃ¤ltnisse im Einzelfall vermuten lassen, dass eine Wiederwahl nicht stattgefunden hÃ¤tte. In beweismÃ¤ssiger Hinsicht sei aber zu verlangen, dass die fehlenden Bindungen, also die vollstÃ¤ndige LoslÃ¶sung des frÃ¼heren Organs von der Firma, klar ausgewiesen seien (Erw. 4b). Â Im Entscheid vom 6. Februar 2003 (in Sachen F.; H 263/2002) hat sich das EidgenÃ¶ssische Versicherungsgericht den AusfÃ¼hrungen eines BeschwerdefÃ¼hrers angeschlossen und erkannt, ihm sei eine AusÃ¼bung des Amtes als Verwaltungsrat infolge des am 31. MÃ¤rz 2000 erlittenen Herzinfarktes mit anschliessender vollstÃ¤ndiger ArbeitsunfÃ¤higkeit nach diesem Datum faktisch nicht mehr mÃ¶glich gewesen, weshalb von einer bis zum 31. MÃ¤rz 2000 beschrÃ¤nkten Verantwortlichkeit auszugehen sei (Erw. 3.3).</w:t>
      </w:r>
    </w:p>
    <w:p>
      <w:r>
        <w:t>Â Â Â Â Â Â Â Â  Ãbereinstimmend hatte das EidgenÃ¶ssische Versicherungsgericht indes festge-halten, von einem faktischen RÃ¼cktritt kÃ¶nne nur ausgegangen werden, sofern der Betroffene keine EntschÃ¤digung mehr fÃ¼r die Verwaltungsratsstellung mehr erhalten habe und keine von ihm unterzeichnete GeschÃ¤ftsakten oder entgegengenommene Betreibungsurkunden aktenkundig seien.</w:t>
      </w:r>
    </w:p>
    <w:p>
      <w:r>
        <w:t>4.5Â Â Â Â  Aufgrund der Akten steht vorliegend fest, dass der BeschwerdefÃ¼hrer am 14. Februar 1998 bei einem Sprung Ã¼ber eine Schanze mit den Skis einen Unfall erlitten hat und in der Folge vollstÃ¤ndig arbeitsunfÃ¤hig war. Im August 1999 verunfallte er mit dem Auto; er erlitt eine GehirnerschÃ¼tterung. Aufgrund der vorgelegten medizinischen Berichte vom 11. Mai 2000 (Urk. 14/3/2) und 17. Juli 2002 (Urk. 14/3/3) ist eine seit dem Unfall vom 14. Februar 1998 bestehende vollstÃ¤ndige ArbeitsunfÃ¤higkeit als GeschÃ¤ftsfÃ¼hrer ausgewiesen (Urk. 14/3/2 S. 6 und 14/3/3 S. 8). Der BeschwerdefÃ¼hrer bezieht deshalb seit dem 1. Februar 1999 gestÃ¼tzt auf einen InvaliditÃ¤tsgrad von 100 % eine ganze Invalidenrente (Urk. 14/3/5 S. 2), welche revisionsweise am 7. Februar 2006 bestÃ¤tigt worden ist (vgl. Telefonnotiz vom 19. April 2011; Urk. 40).</w:t>
      </w:r>
    </w:p>
    <w:p>
      <w:r>
        <w:t>Â Â Â Â Â Â Â Â  Nach seiner Darstellung hat er sich infolge seiner ArbeitsunfÃ¤higkeit lÃ¤ngstens vom Betrieb distanziert. Erst im Zusammenhang mit dem Scheidungsverfahren sei ihm bewusst geworden, dass er nach wie vor als Organ im Handelsregister eingetragen gewesen sei. Wenn der BeschwerdefÃ¼hrer damit darlegen will, er sei ab dem Unfall im Februar 1998 nicht mehr in der Lage gewesen, in irgendeiner Form fÃ¼r die Aktiengesellschaft zu handeln (Urk. 12/430/2), so ist dem zwar zu entgegnen, dass er noch am 6. April 1999 im Zusammenhang mit einer Abrechnung betreffend das Jahr 1998 sowie betreffend LohnbeitrÃ¤ge fÃ¼r 1999 telefonischen Kontakt mit der Beschwerdegegnerin hatte, was aktenkundig ist (Urk. 14/7). Hernach ist jedoch aus den Akten nichts mehr ersichtlich, was belegen wÃ¼rde, dass er in irgendeiner Weise GeschÃ¤ftshandlungen vorgenommen hÃ¤tte. So beruft sich denn auch die Beschwerdegegnerin einzig auf diese Telefonnotiz vom 6. April 1999, wobei anzumerken ist, dass sich das GesprÃ¤ch noch vor der im Verfahren massgebenden Haftungsperiode (BeitrÃ¤ge ab dem Jahr 2000) zugetragen hat. Sodann ist der BeschwerdefÃ¼hrer seit 1999 nicht mehr als LohnbezÃ¼ger in den Lohnbescheinigungen aufgefÃ¼hrt (Urk. 12/11, 12/25, 12/50, 12/54, 12/103, 12/150 und 12/190) und mit Bezug auf ihn wurden anlÃ¤sslich der Arbeitgeberkontrolle vom 9. Februar 2005 (Urk. 12/140) - im Gegensatz zur Situation bei der BeschwerdefÃ¼hrerin - keine nicht abgerechneten Lohnsummen festgestellt (Urk. 12/141). Damit ist - angesichts seiner weiterhin aktenkundigen vollstÃ¤ndigen ArbeitsunfÃ¤higkeit (Urk. 40) - ein effektives Ausscheiden des BeschwerdefÃ¼hrers aus der Gesellschaft vor dem Jahr 2000 mit der im Sozialversicherungsrecht geltenden Ã¼berwiegenden Wahrscheinlichkeit erstellt. Schliesslich ist festzuhalten, dass das Unternehmen ohne sein Zutun bis zur ErÃ¶ffnung des Konkurses am 6. Juni 2007 fortbestanden hat.</w:t>
      </w:r>
    </w:p>
    <w:p>
      <w:r>
        <w:t>Â Â Â Â Â Â Â Â  Nach dem Gesagten entfÃ¤llt eine Haftung des BeschwerdefÃ¼hrers fÃ¼r die von der Beschwerdegegnerin geltend gemachte Schadenersatzforderung betreffend AusstÃ¤nde ab dem Jahr 2000, und es brauchen die weiteren Voraussetzungen einer Schadenersatzpflicht nicht mehr geprÃ¼ft zu werden.</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E.1a S. 186). Absicht bzw.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Erw. 1b S. 186; ZAK 1985 S. 576 Erw. 2). So kann es sein, dass es einem Arbeitgeber, der sich in schwieriger finanzieller Lage befindet, durch das Nichtbezahlen der BeitrÃ¤ge gelingt, die Existenz seines Unternehmens zu retten. Ein solches Vorgehen fÃ¼hrt allerdings nur dann nicht zu einer Haftung gemÃ¤ss Art. 52 Abs. 1 AHVG, wenn der Arbeitgeber im Zeitpunkt seiner Entscheidung aufgrund der objektiven UmstÃ¤nde und einer seriÃ¶sen Beurteilung der Lage damit rechnen durfte, dass er die Forderung der Ausgleichskasse innert nÃ¼tzlicher Frist wÃ¼rde befriedigen kÃ¶nnen (BGE 108 V 183 S. 188; ZAK 1992 S. 248 Erw. 4b; vgl. BGE 132 III 523 S. 530).</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Erw. 3a S. 202; ZAK 1985 S. 51 Erw. 2a, 620 E. 3b; vgl. BGE 132 III 523 Erw. 4.6 S. 529).</w:t>
      </w:r>
    </w:p>
    <w:p>
      <w:r>
        <w:t>Â Â Â Â Â Â Â Â  Nicht jedes einem Unternehmen als solchem anzulastende Verschulden muss auch ein solches seiner sÃ¤mtlichen Organe sein. Vielmehr hat man abzuwÃ¤gen, ob und inwieweit eine Handlung der Firma einem bestimmten Organ im Hinblick auf dessen rechtliche und faktische Stellung innerhalb des Unternehmens zuzurechnen ist. Ob ein Organ schuldhaft gehandelt hat, hÃ¤ngt demnach entscheidend von der Verantwortung und den Kompetenzen ab, die ihm von der juristischen Person Ã¼bertragen wurden (BGE 108 V 199 Erw. 3a S. 202; ZAK 1985 S. 620 Erw. 3b; vgl. BGE 132 III 523 Erw. 4.5 S. 528). GehÃ¶ren dem Verwaltungsrat mehrere Personen an, so ist fÃ¼r jede von ihnen einzeln zu prÃ¼fen, ob sie am Schaden der Ausgleichskasse ein Verschulden trifft. Obliegt die GeschÃ¤ftsfÃ¼hrung einem Mitglied des Verwaltungsrats, so handeln weitere Mitglieder schuldhaft, wenn sie die nach den UmstÃ¤nden gebotene Aufsicht nicht ausÃ¼ben. Setzt sich der Verwaltungsrat aus nur zwei Mitgliedern zusammen, so beurteilen sich - insbesondere, wenn sie lediglich kollektiv unterschriftsberechtigt sind, - die Anforderungen an die gegenseitige Kontrolle nach einem strengen Massstab (in BGE 119 V 86 nicht publizierte Erw. 2c des Urteils vom 4. MÃ¤rz 1993 (H 94/91), nicht verÃ¶ffentliche Urteile D. vom 7. Dezember 1987 (H 171/87) und K. vom 4. August 1987 (H 25/87)).</w:t>
      </w:r>
    </w:p>
    <w:p>
      <w:r>
        <w:t>5.2Â Â Â Â  Die BeschwerdefÃ¼hrerin lÃ¤sst jegliches Verschulden bestreiten und im Wesentlichen vorbringen (Urk. 1, 16 sowie 12/419), das GeschÃ¤ft sei stets von ihrem Ehemann gefÃ¼hrt worden. Sie habe zwar eine Aktie des Unternehmens besessen und sei im Handelsregister eingetragen gewesen, doch sei damit einzig bezweckt worden, die Zeichnungsberechtigung bei Abwesenheit des Ehemannes zu gewÃ¤hrleisten. Der Aktienbesitz und die ihr eingerÃ¤umte Zeichnungsberechtigung zu zweien hÃ¤tten jedoch mit der GeschÃ¤ftsfÃ¼hrungstÃ¤tigkeit nichts zu tun gehabt. Es sei ihr auch nicht bewusst gewesen, dass sie VerwaltungsrÃ¤tin gewesen sei; sie habe nie an Sitzungen teilgenommen (solche hÃ¤tten denn auch gar nicht stattgefunden), keine Einsicht in die BÃ¼cher gehabt, niemals Weisungen erteilt und mit dem Rechnungswesen, von welchem sie nichts verstanden habe, nichts zu tun gehabt. Das VerhÃ¤ltnis zwischen ihr und ihrem Ehemann habe sich seit dem Jahr 2000 verschlechtert, bis es zur Scheidung gekommen sei. Sie sei der Auffassung, dass die Buchhaltung durch das damit beauftragte TreuhandbÃ¼ro bis zu ihrer KÃ¼ndigung im Jahre 2005 korrekt gefÃ¼hrt worden sei. Unter diesen UmstÃ¤nden kÃ¶nne ihr kein Fehlverhalten vorgeworfen werden; es mangle sodann auch am Kausalzusammenhang zwischen einem nicht nachgewiesenen Verhalten und dem behaupteten Schaden.</w:t>
      </w:r>
    </w:p>
    <w:p>
      <w:r>
        <w:t>5.3Â Â Â Â  Mit ihrer Argumentation verkennt die BeschwerdefÃ¼hrerin jedoch, dass - wie das EidgenÃ¶ssische Versicherungsgericht wiederholt erkannt hat - grobfahrlÃ¤ssig handelt, wer sich bloss als Strohmann zur VerfÃ¼gung stellt und seine Kontrollrechte nicht ausÃ¼bt (Urteile in Sachen K. und R. vom 2. Juli 2002 [H 201/01], in Sachen K. vom 31. Juli 2001 [H 382/00 und H 409/00], in Sachen S. vom 13. Februar 2001 [H 87/00]; BGE 112 V 3 Erw. 2b). Nach der Rechtsprechung des obersten Gerichts kann sich daher auch eine Ehefrau, die sich in den Verwaltungsrat der Firma ihres Mannes wÃ¤hlen lÃ¤sst, vom Vorwurf der groben FahrlÃ¤ssigkeit nicht mit der BegrÃ¼ndung exkulpieren, sie sei nicht in der Lage gewesen, das Geschehen zu Ã¼berblicken und habe vollumfÃ¤nglich ihrem Mann vertraut. Gerade die Verkennung ihrer Pflichten als Verwaltungsratsmitglied stellt eine grobe Sorgfaltspflichtverletzung dar (ZAK 1992 S. 249; vgl. auch Urteil in Sachen C. vom 24. November 1993 [H 199/93]). Im Bereich von Art. 52 AHVG gilt ein objektivierter Verschuldensmassstab, das heisst, dass subjektive Entschuldbarkeit oder die GrÃ¼nde fÃ¼r die Annahme des Verwaltungsratsmandats unbeachtlich sind (Urteil in Sachen K. vom 5. Februar 2003 [H 183/01] mit Hinweis auf das Urteil in Sachen M. und F. vom 25. Juli 2000 [H 228/98]). Das gilt auch fÃ¼r Mandate, welche aus GefÃ¤lligkeit Ã¼bernommen werden.</w:t>
      </w:r>
    </w:p>
    <w:p>
      <w:r>
        <w:t>5.4Â Â Â Â  GemÃ¤ss Art. 716 Abs. 2 des Obligationenrechts (OR) fÃ¼hrt der Verwaltungsrat die GeschÃ¤fte der Gesellschaft, soweit er die GeschÃ¤ftsfÃ¼hrung nicht Ã¼bertragen hat. Art. 716a Abs. 1 OR enthÃ¤lt sodann einen Katalog unÃ¼bertragbarer und unentziehbarer Aufgaben. So obliegt dem Verwaltungsrat insbesondere die Oberleitung der Gesellschaft und die Erteilung der nÃ¶tigen Weisungen (Ziffer 1), die Ausgestaltung des Rechnungswesens, der Finanzkontrolle sowie der Finanzplanung (Ziffer 3) und die Oberaufsicht Ã¼ber die mit der GeschÃ¤ftsfÃ¼hrung betrauten Personen, namentlich im Hinblick auf die Befolgung der Gesetze, Statuten, Reglemente und Weisungen (Ziffer 5). Der Verwaltungsrat einer Aktiengesellschaft hat die mit der GeschÃ¤ftsfÃ¼hrung beauftragten Personen zu Ã¼berwachen und sich regelmÃ¤ssig Ã¼ber den GeschÃ¤ftsgang unterrichten zu lassen. Das Gesetz verbietet zwar nicht die Vornahme einer bestimmten Arbeits- und Kompetenzaufteilung, doch die Ãberwachungs- und Kontrollpflichten verbleiben auch dann beim (Gesamt)-Verwaltungsrat. Deshalb hat sich jedes Mitglied des Verwaltungsrats periodisch Ã¼ber den GeschÃ¤ftsgang und die wichtigsten GeschÃ¤fte, die nicht zu seinem primÃ¤ren Aufgabenbereich gehÃ¶ren, zu orientieren, Rapporte zu verlangen, diese sorgfÃ¤ltig zu studieren und nÃ¶tigenfalls ergÃ¤nzende AuskÃ¼nfte einzuholen, IrrtÃ¼mer abzuklÃ¤ren und bei UnregelmÃ¤ssigkeiten einzugreifen (BGE 114 V 223 Erw. 4a).</w:t>
      </w:r>
    </w:p>
    <w:p>
      <w:r>
        <w:t>Â Â Â Â Â Â Â Â  Dass die BeschwerdefÃ¼hrerin je Einsicht in die BÃ¼cher verlangt hÃ¤tte, macht sie selber nicht geltend. Verwaltungsratssitzungen wurden nicht durchgefÃ¼hrt (Urk. 1 S. 4), so dass als einzige Gelegenheit die Generalversammlung verblieb, wenn eine solche Ã¼berhaupt je stattgefunden hat, um den Verlauf des GeschÃ¤ftsganges zu prÃ¤sentieren, Ã¼ber allfÃ¤llige Probleme zu orientieren und zu diskutieren. Bei einfachen VerhÃ¤ltnissen, das heisst wenn nur wenige VerwaltungsrÃ¤te im Amt sind, muss in der Regel der Ãberblick Ã¼ber alle wesentlichen Belange der Firma verlangt werden. Darum hat sich die BeschwerdefÃ¼hrerin offensichtlich nicht bemÃ¼ht. Aktenkundig ist vielmehr eine absolute PassivitÃ¤t der BeschwerdefÃ¼hrerin im Zusammenhang mit den Pflichten des von ihr Ã¼bernommenen Verwaltungsratsmandats. Dies ist umso gravierender, als sich aus den Akten ergibt, dass die BeschwerdefÃ¼hrerin bis im Jahr 2004 immer als LohnbezÃ¼gerin in den Unterlagen des Unternehmens aufgefÃ¼hrt war (Urk. 12/50, 12/54, 12/103 und 12/150) und selber mehrmals Jahresabrechnungen mitunterzeichnet (Urk. 12/1, 12/11, 12/25, 12/50 und 12/150) sowie im September 2003 bei der Beschwerdegegnerin im Zusammenhang mit der ÃberprÃ¼fung von Rechnungen interveniert hat (Urk. 12/83/1 und 12/84). Diese administrativen Arbeiten gehÃ¶rten nach der Darstellung von Z.___ (Urk. 12/436/2-3) zu den eigentlichen TÃ¤tigkeiten der BeschwerdefÃ¼hrerin und ihres Ehemannes und damit nach dessen Ausscheiden aufgrund seiner unfallbedingten vollstÃ¤ndigen ArbeitsunfÃ¤higkeit zweifellos in den ZustÃ¤ndigkeitsbereich der BeschwerdefÃ¼hrerin.</w:t>
      </w:r>
    </w:p>
    <w:p>
      <w:r>
        <w:t>Â Â Â Â Â Â Â Â  Wie bereits vorstehend erwÃ¤hnt (Erw. 3.2), hat die A.___-GebÃ¤udereinigungen AG wiederholt Zahlungs- und Abrechnungspflichten verletzt. Ungeachtet der ausstehenden SozialversicherungsbeitrÃ¤ge zahlte die Gesellschaft aber weiterhin LÃ¶hne aus, obwohl gemÃ¤ss der Rechtsprechung der Grundsatz gilt, wonach es in wirtschaftlich schwierigen Zeiten geboten ist, nur so viele LÃ¶hne auszuzahlen als auch die darauf geschuldeten SozialversicherungsbeitrÃ¤ge bezahlt werden kÃ¶nnen (Urteil des EidgenÃ¶ssischen Versicherungsgerichts in Sachen G. vom 26. Mai 2003, H 229/02, mit Hinweisen auf SVR 2003 AHV Nr. 1, S. 1 und BGE 118 V 195 Erw. 2a). Dies allein genÃ¼gt, um in der Regel die Pflicht zur vollen Schadensdeckung nach sich zu ziehen, denn die Ausgleichskasse darf davon ausgehen, dass der Arbeitgeber die Vorschriften absichtlich oder grobfahrlÃ¤ssig verletzt hat.</w:t>
      </w:r>
    </w:p>
    <w:p>
      <w:r>
        <w:t>Â Â Â Â Â Â Â Â  Nach dem Dargelegten wurden seitens der BeschwerdefÃ¼hrerin keine sie von der Haftung entlastende UmstÃ¤nde vorgebracht; vielmehr gereicht ihr die vollstÃ¤ndige PassivitÃ¤t bezÃ¼glich ihrer Organstellung zum Verschulden.</w:t>
      </w:r>
    </w:p>
    <w:p>
      <w:r>
        <w:t>5.5Â Â Â Â  Unter den gegebenen UmstÃ¤nden ist das Verhalten der BeschwerdefÃ¼hrerin, namentlich ihre PassivitÃ¤t mit Blick auf ihre Pflichten als VerwaltungsrÃ¤tin, ohne Weiteres auch als adÃ¤quat kausal fÃ¼r den bei der Beschwerdegegnerin eingetretenen Schaden zu betrachten (BGE 119 V 406 Erw. 4a mit Hinweisen, vgl. auch BGE 122 V 189 sowie 119 Ib 343 Erw. 3c). WÃ¤ren die geschuldeten BeitrÃ¤ge sichergestellt und nur so wenig LÃ¶hne ausgerichtet worden, als die darauf geschuldeten Abgaben bei FÃ¤lligkeit hÃ¤tten beglichen werden kÃ¶nnen, wÃ¤re der Schaden nicht eingetreten.</w:t>
      </w:r>
    </w:p>
    <w:p>
      <w:r>
        <w:t>5.6Â Â Â Â  Abschliessend ist festzuhalten, dass auch kein Selbstverschulden der Beschwerdegegnerin vorliegt (BGE 122 V 185), denn es sind keine UmstÃ¤nde ersichtlich, aufgrund derer eine Missachtung elementarer Vorschriften der Beitragsveranlagung und des Beitragsbezugs durch die Beschwerdegegnerin erkennbar wÃ¤re, welche fÃ¼r die Entstehung oder Verschlimmerung des Schadens als adÃ¤quat kausal betrachtet werden mÃ¼sste (BGE 122 V 189 Erw. 3c). So hat die Beschwerdegegnerin immer die Jahresschlussabrechnungen erstellt, die Gesellschaft bezÃ¼glich der AusstÃ¤nde gemahnt, betrieben und auch PfÃ¤ndungsbegehren gestellt, nachdem Ratenzahlungen nicht fristgerecht eingegangen waren und daher auch weitere Abschlagszahlungen verweigerte (Urk. 12/235 und 12/237).</w:t>
      </w:r>
    </w:p>
    <w:p>
      <w:r>
        <w:t>Â Â Â Â Â Â Â Â  Demnach ist die Haftbarkeit von X.___ fÃ¼r den der Ausgleichskasse bis zur LÃ¶schung der BeschwerdefÃ¼hrerin im Handelsregister mithin bis zum 18. November 2005 (Urk. 12/448) entstandenen Schaden zu bejahen und die BeschwerdefÃ¼hrerin zur Bezahlung des im Einspracheentscheid vom 9. Juni 2009 (Urk. 2) geltend gemachten Schadens von Fr. 89'145.85 zu verpflichten. Der VollstÃ¤ndigkeit halber sei darauf hingewiesen, dass der Vollzug des (rechtskrÃ¤ftigen) Urteils sodann Sache der Ausgleichskasse ist und allfÃ¤llige Zahlungserleichterungen im Rahmen des Vollzugs des Urteils daher mit der Ausgleichskasse abzusprechen sind.</w:t>
      </w:r>
    </w:p>
    <w:p>
      <w:r>
        <w:t>5.7Â Â Â Â  Zusammenfassend ist daher die Beschwerde des BeschwerdefÃ¼hrers gutzuheissen und der Einspracheentscheid vom 2. Juli 2009 (Urk. 14/2) aufzuheben. Die Beschwerde der BeschwerdefÃ¼hrerin ist nach dem Gesagten jedoch abzuweisen.</w:t>
      </w:r>
    </w:p>
    <w:p>
      <w:r>
        <w:t>6.Â Â Â Â Â Â  Bei diesem Verfahrensausgang obsiegt der BeschwerdefÃ¼hrer, weshalb er nach Art. 61 lit. g des Bundesgesetzes Ã¼ber den Allgemeinen Teil des Sozialversicherungsrechts (ATSG) Anspruch auf eine ProzessentschÃ¤digung hat, welche ohne RÃ¼cksicht auf den Streitwert nach der Bedeutung der Streitsache und nach der Schwierigkeit des Prozesses zu bemessen ist (Â§ 34 Abs. 1 und Abs. 3 des Gesetzes Ã¼ber das Sozialversicherungsgericht, GSVGer). Diese ist nach richterlichem Ermessen auf Fr. 2'600.-- zulasten der Beschwerdegegnerin festzusetzen.</w:t>
      </w:r>
    </w:p>
    <w:p>
      <w:r>
        <w:t>Â Â Â Â Â Â Â Â  Der unentgeltliche Rechtsvertreter der BeschwerdefÃ¼hrerin hat in der Kostennote vom 18. April 2011 einen Aufwand von Fr. 1'600.--, was bei einem gerichtsÃ¼blichen Stundenansatz von Fr. 200.-- einem Zeitaufwand von acht Stunden entspricht, und Fr. 62.-- Barauslagen zuzÃ¼glich 8 % Mehrwertsteuer geltend gemacht (Urk. 38 und 39). Der Aufwand ist angemessen und es sind ihm antragsgemÃ¤ss Fr. 1'795.-- (einschliesslich Barauslagen und Mehrwertsteuer) aus der Gerichtskasse zu entschÃ¤digen.</w:t>
      </w:r>
    </w:p>
    <w:p>
      <w:r>
        <w:t>Das Gericht erkennt:</w:t>
      </w:r>
    </w:p>
    <w:p>
      <w:r>
        <w:t>1.Â Â Â Â Â Â Â Â  In Gutheissung der Beschwerde von Y.___ wird der Einspracheentscheid der Sozialversicherungsanstalt des Kantons ZÃ¼rich, Ausgleichskasse, vom 2. Juli 2009 aufgehoben.</w:t>
      </w:r>
    </w:p>
    <w:p>
      <w:r>
        <w:t>Â Â Â Â Â Â Â Â Â Â  Die Beschwerde von X.___ wird abgewiesen.</w:t>
      </w:r>
    </w:p>
    <w:p>
      <w:r>
        <w:t>2.Â Â Â Â Â Â Â Â  Das Verfahren ist kostenlos.</w:t>
      </w:r>
    </w:p>
    <w:p>
      <w:r>
        <w:t>3.Â Â Â Â Â Â Â Â  Die Beschwerdegegnerin wird verpflichtet, dem BeschwerdefÃ¼hrer eine Prozess-entschÃ¤digung von Fr. 2'600.-- (inkl. Barauslagen und MWSt) zu bezahlen.</w:t>
      </w:r>
    </w:p>
    <w:p>
      <w:r>
        <w:t>4.Â Â Â Â Â Â Â Â  Der unentgeltliche Rechtsvertreter der BeschwerdefÃ¼hrerin, Rechtsanwalt Dr. RenÃ© MÃ¼ller, Brugg, wird mit Fr. 1'795.-- (inkl. Barauslagen und MWSt) aus der Gerichtskasse entschÃ¤digt. Die BeschwerdefÃ¼hrerin wird auf Â§ 16 Abs. 4 GSVGer hingewiesen.</w:t>
      </w:r>
    </w:p>
    <w:p>
      <w:r>
        <w:t>5.Â Â Â Â Â Â Â Â  Zustellung gegen Empfangsschein an:</w:t>
      </w:r>
    </w:p>
    <w:p>
      <w:r>
        <w:t>- Rechtsanwalt Dr. RenÃ© MÃ¼ller je unter Beilage einer Kopie von Urk. 35 und 40</w:t>
      </w:r>
    </w:p>
    <w:p>
      <w:r>
        <w:t>- Rechtsanwalt Dr. Andreas Burren unter Beilage einer Kopie von Urk. 35 und 40</w:t>
      </w:r>
    </w:p>
    <w:p>
      <w:r>
        <w:t>- RechtsanwÃ¤ltin Anna Paparis unter Beilage einer Kopie von Urk. 40</w:t>
      </w:r>
    </w:p>
    <w:p>
      <w:r>
        <w:t>- Sozialversicherungsanstalt des Kantons ZÃ¼rich, Ausgleichskasse, je unter Beilage einer Kopie von Urk. 35 und 40</w:t>
      </w:r>
    </w:p>
    <w:p>
      <w:r>
        <w:t>- Bundesamt fÃ¼r Sozialversicherungen</w:t>
      </w:r>
    </w:p>
    <w:p>
      <w:r>
        <w:t>sowie an:</w:t>
      </w:r>
    </w:p>
    <w:p>
      <w:r>
        <w:t>- Gerichtskasse</w:t>
      </w:r>
    </w:p>
    <w:p>
      <w:r>
        <w:t>6.Â Â Â Â Â Â Â Â  Da der Streitwert Fr. 30'000.-- Ã¼bersteigt, kann gegen diesen Entscheid innert 30 Tagen seit der Zustellung beim Bundesgericht Beschwerde eingereicht werden (Art. 82 ff., insbesondere Art. 85,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