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AK.2009.00005 vom 23. September 2010</w:t>
      </w:r>
    </w:p>
    <w:p>
      <w:r>
        <w:t>ZH Sozialversicherungsgericht, 2010-09-23, DE</w:t>
      </w:r>
    </w:p>
    <w:p>
      <w:r>
        <w:rPr>
          <w:b/>
        </w:rPr>
        <w:t xml:space="preserve">Quelle: </w:t>
      </w:r>
      <w:r>
        <w:t>https://mcp.opencaselaw.ch/entscheid/zh_sozialversicherungsgericht_AK.2009.00005</w:t>
      </w:r>
    </w:p>
    <w:p>
      <w:r>
        <w:t>FR: ZH_SOZIALVERSICHERUNGSGERICHT AK.2009.00005 du 23 septembre 2010</w:t>
      </w:r>
    </w:p>
    <w:p>
      <w:r>
        <w:t>IT: ZH_SOZIALVERSICHERUNGSGERICHT AK.2009.00005 del 23 settembre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Der Schaden gilt als eingetreten, sobald anzunehmen ist, dass die geschuldeten BeitrÃ¤ge aus rechtlichen oder tatsÃ¤chlichen GrÃ¼nden nicht mehr erhoben werden kÃ¶nnen (BGE Â 126 V 444 Erw. 3a mit Hinweisen). Dies trifft im zweiten Fall dann zu, wenn die BeitrÃ¤ge wegen der ZahlungsunfÃ¤higkeit des Arbeitgebers nicht mehr im Verfahren nach Art. 14 ff. AHVG erhoben werden kÃ¶nnen (BGE 123 V 16 Erw. 5b, 112 V 157 Erw. 2; ZAK 1990 S. 287 Erw. 3b/aa).</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2.2Â Â Â Â  Am 21. Dezember 2007 und 7. Februar 2008 wurden der Beschwerdegegnerin in den von ihr gegen die C.___ eingeleiteten Betreibungen diverse definitive PfÃ¤ndungsverlustscheine Ã¼ber den Betrag von insgesamt Fr. 74'062.85 ausgestellt (Urk. 7/107-112 und Urk. 7/139-151). Darauf hin forderte sie vom BeschwerdefÃ¼hrer Ersatz fÃ¼r nicht abgelieferte BeitrÃ¤ge, Verwaltungskosten, Verzugszinsen und GebÃ¼hren von Fr. 89'822.60 mit dem Hinweis, dass Ã¼ber die in den Verlustscheinen verbrieften Forderungen hinaus BeitrÃ¤ge von Fr. 15'759.75 noch unbezahlt seien (Urk.7/183).</w:t>
      </w:r>
    </w:p>
    <w:p>
      <w:r>
        <w:t>Â Â Â Â Â Â Â Â  Im Lichte der erwÃ¤hnten Rechtsprechung ist im Zeitpunkt des VerfÃ¼gungserlasses am 1. Oktober 2008 ein Schaden erst in Bezug auf die BeitragsausstÃ¤nde im Umfang von Fr. 74'062.85 entstanden, Ã¼ber welchen Betrag - wie dargelegt - definitive PfÃ¤ndungsverlustscheine vorliegen. Im Einspracheentscheid - das Sozialversicherungsgericht stellt grundsÃ¤tzlich auf den bis zum Zeitpunkt des Erlasses des streitigen Entscheids eingetretenen Sachverhalt ab (BGE 130 V 140 Erw. 2.1 mit Hinweis) - reduzierte die Beschwerdegegnerin die Schadenersatzforderung auf Fr. 74'202.25. In diesem Betrag ist die Schlussrechnung der BeitrÃ¤ge 2007 von Fr. 663.95 (Urk. 7/213, Pos. 2008.0004) enthalten. FÃ¼r diese Forderung besteht kein definitiver PfÃ¤ndungsverlustschein, jedoch musste die Beschwerdegegnerin angesichts der Tatsache, dass die Gesellschaft ihre Zahlungen am 25. September 2008 eingestellt hatte (Urk. 7/212 S. 3), davon ausgehen, dass auch dieser Ausstand nicht eingefordert werden kann.</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Laut Kontoauszug der Beschwerdegegnerin vom 11. MÃ¤rz 2009 (Urk. 7/213) blieben die PauschalbeitrÃ¤ge der Monate Januar bis Oktober 2006 im Betrag von Fr. 73'538.30 sowie die Schlussrechnung der BeitrÃ¤ge fÃ¼r das Jahr 2007 von Fr. 663.95 und somit insgesamt Fr. 74'202.25 unbezahlt. In dieser HÃ¶he ist der Beschwerdegegnerin ein Schaden entstanden, der durch die Akten ausgewiesen ist (Urk. 7/170, Urk. 7/178, Urk. 7/212-213). Dieser wird vom BeschwerdefÃ¼hrer auch nicht substanziell bestritten.</w:t>
      </w:r>
    </w:p>
    <w:p>
      <w:r>
        <w:rPr>
          <w:b/>
        </w:rPr>
        <w:t>E. 4</w:t>
      </w:r>
    </w:p>
    <w:p>
      <w:r>
        <w:t>4.1Â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4.2Â Â Â Â  Die Arbeitgeberin hat es unterlassen, die PauschalbeitrÃ¤ge Januar bis Oktober 2006 sowie die Schlussrechnung der BeitrÃ¤ge fÃ¼r das Jahr 2007 zu bezahlen. Ãberdies reichte sie fÃ¼r die Jahre 2006 und 2007 keine Abrechnungen ein, so dass die Ausgleichskasse gezwungen war, eine ausserordentliche Arbeitgeberkontrolle durchzufÃ¼hren, anlÃ¤sslich welcher die Jahresabrechnungen erstellt wurden (Urk. 7/169-171).</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Â Â Â Â 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5.3Â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6</w:t>
      </w:r>
    </w:p>
    <w:p>
      <w:r>
        <w:t>6.1Â Â Â Â  Der BeschwerdefÃ¼hrer trat am 27. Februar 2008 (Tagebucheintrag) aus dem Verwaltungsrat aus (Urk. 7/210). Damit haftet er grundsÃ¤tzlich nicht fÃ¼r BeitrÃ¤ge, die nach dem Austritt zur Zahlung fÃ¤llig geworden sind. Zu berÃ¼cksichtigen ist indessen, dass die Arbeitgeberin weder im Jahr 2006 noch im Jahr 2007 die ausgerichteten LÃ¶hne abgerechnet hat, obwohl sie nach Art. 36 Abs. 2 i.V.m. Art. 36 Abs. 3 Satz 1 AHVV verpflichtet gewesen wÃ¤re, dies innert 30 Tagen nach Ablauf des Kalenderjahres, mithin bis zum 30. Januar 2007 beziehungsweise 30. Januar 2008 und damit noch wÃ¤hrend der Amtsdauer des BeschwerdefÃ¼hrers zu tun. Dies fÃ¼hrte dazu, dass die Beschwerdegegnerin den Ausgleich der BeitrÃ¤ge erst nach der ausserordentlichen Arbeitgeberrevision vom 1. April 2008 in Rechnung stellen konnte. Daher hat der BeschwerdefÃ¼hrer grundsÃ¤tzlich auch fÃ¼r diese, nach seinem Austritt aus dem Verwaltungsrat in Rechnung gestellten BeitrÃ¤ge einzustehen.</w:t>
      </w:r>
    </w:p>
    <w:p>
      <w:r>
        <w:t>6.2Â Â Â Â  Dass die Sperrung der Konti durch die Staatsanwaltschaft zur ZahlungsunfÃ¤higkeit der Gesellschaft beigetragen haben mag, ist durchaus glaubhaft. Mangelnde liquide Mittel an sich stellen jedoch keinen Exkulpationsgrund dar. Tatsache ist, dass gemÃ¤ss EinstellungsverfÃ¼gung der Staatsanwaltschaft I des Kantons ZÃ¼rich vom 31. Juli 2007 (Urk. 3/6) die Sperre des Kontos der Gesellschaft am 12. Oktober 2006 verfÃ¼gt wurden, nachdem auf das Konto am 2. Oktober 2006 2'225'000.-- Euro Ã¼berwiesen worden waren. Im Zeitpunkt der Kontosperre waren bereits die PauschalbeitrÃ¤ge von Januar bis September 2006 im Betrag von Fr. 69'642.65 zur Zahlung fÃ¤llig, und die Gesellschaft war somit seit neun Monaten im ZahlungsrÃ¼ckstand. Hieraus ist zu schliessen, dass diese nicht allein durch die Kontosperre in LiquiditÃ¤tsschwierigkeiten geriet, sondern zumindest schon seit der Sitzverlegung in den Kanton ZÃ¼rich im Januar 2006 offensichtlich Zahlungsschwierigkeiten hatte. Die Kontosperrung durch die Staatsanwaltschaft allein ist daher nicht der Grund fÃ¼r die ausstehenden BeitrÃ¤ge, zumal sie sich auf den mutmasslich deliktischen Zahlungseingang in der HÃ¶he von Ã¼ber 2,2 Millionen Euro beschrÃ¤nkte (Urk. 3/4), ansonsten die BeitrÃ¤ge, welche vor Oktober 2006 zur Zahlung fÃ¤llig gewesen waren, beglichen worden wÃ¤ren. Angesichts der finanziellen Schwierigkeiten hÃ¤tte der BeschwerdefÃ¼hrer dafÃ¼r sorgen mÃ¼ssen, dass die Gesellschaft Vorkehren trifft, um die BeitrÃ¤ge der zur Auszahlung gelangenden LÃ¶hne sofort zu bezahlen oder vollumfÃ¤nglich sicherzustellen, was er unterliess. Ein solches Verhalten stellt namentlich eine Verletzung der Pflicht dar, in finanziell schwierigen Zeiten nur so viel Lohn auszuzahlen, als dass die darauf unmittelbar ex lege entstandenen Beitragsforderungen gedeckt sind (BGE 118 V 195 Erw. 2a SVR 1995 AHV Nr. 70 S. 214 Erw. 5). Besonders schwer wiegt der Umstand, dass es der BeschwerdefÃ¼hrer zugelassen hat, dass die Gesellschaft, auch nachdem das GeschÃ¤ftskonto gesperrt worden war, weiterhin - wenn auch geringere - LÃ¶hne ausbezahlt hat, ohne die darauf geschuldeten SozialversicherungsbeitrÃ¤ge abzuliefern. Denn in diesem Zeitpunkt stand unmissverstÃ¤ndlich fest, dass die ausstehenden BeitrÃ¤ge nicht innert nÃ¼tzlicher Frist beglichen werden konnten. Dieses Verhalten lÃ¤sst darauf schliessen, dass der BeschwerdefÃ¼hrer damit einverstanden war, dass die Gesellschaft ihren Betrieb zumindest teilweise auf Kosten der Sozialversicherungen weiterfÃ¼hrte.</w:t>
      </w:r>
    </w:p>
    <w:p>
      <w:r>
        <w:t>6.3Â Â Â Â Â Â Â Â  Insoweit der BeschwerdefÃ¼hrer geltend macht, es sei ihm nicht mÃ¶glich gewesen, die Lohnabrechnungen zu erstellen, da die Staatsanwaltschaft sÃ¤mtliche Akten beschlagnahmt habe, ist ihm entgegenzuhalten, dass er keine BemÃ¼hungen vorweist, bei der Staatsanwaltschaft die Erlaubnis zur Einsicht in die GeschÃ¤ftsakten zu erlangen, um die gesetzlich geforderte Lohndeklaration zu erstellen. Im Ãbrigen ist es den Revisoren der Beschwerdegegnerin aufgrund der Buchhaltungsunterlagen, die sich offensichtlich am Sitz der Gesellschaft befunden haben, mÃ¶glich gewesen, die Lohndeklaration zu erstellen (Urk. 7/169).</w:t>
      </w:r>
    </w:p>
    <w:p>
      <w:r>
        <w:t>6.4Â Â Â Â  Wie oben unter Erw. 2.2 dargelegt, liegen im Umfang von Fr. 74'062.85 PfÃ¤ndungsverlustscheine vor, und der Beschwerdegegnerin ist ein Schaden entstanden, der sie innerhalb einer VerjÃ¤hrungsfrist von zwei Jahren beim Ersatzpflichtigen geltend machen muss. Dem BeschwerdefÃ¼hrer, der sich auf den Standpunkt stellt, die AusstÃ¤nde kÃ¶nnten bei der Gesellschaft eingetrieben werden, da diese, nachdem die Kontosperre nach seinen Angaben nunmehr aufgehoben sein soll, wieder zahlungsfÃ¤hig sei, bleibt es unbenommen, sich an der Gesellschaft schadlos zu halten.</w:t>
      </w:r>
    </w:p>
    <w:p>
      <w:r>
        <w:t>6.5Â Â Â Â Â Â Â Â  Zusammenfassend ist festzuhalten, dass sich der BeschwerdefÃ¼hrer von dem ihm zu machenden Vorwurf, seine Obliegenheiten im Zusammenhang mit dem Beitragswesen grobfahrlÃ¤ssig missachtet zu haben, nicht zu entlasten vermag. Zu bejahen ist auch der Kausalzusammenhang zwischen dem Verschulden des BeschwerdefÃ¼hrers und dem eingetretenen Schaden, denn wÃ¤ren nur soweit LÃ¶hne ausgerichtet worden, als die darauf geschuldeten Abgaben bei FÃ¤lligkeit hÃ¤tten beglichen werden kÃ¶nnen, wÃ¤re der Schaden nicht entstanden.</w:t>
      </w:r>
    </w:p>
    <w:p>
      <w:r>
        <w:t>7.Â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Sozialversicherungsanstalt des Kantons ZÃ¼rich, Ausgleichskasse</w:t>
      </w:r>
    </w:p>
    <w:p>
      <w:r>
        <w:t>- B.___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