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AK.2004.00082 vom 28. Februar 2005</w:t>
      </w:r>
    </w:p>
    <w:p>
      <w:r>
        <w:t>ZH Sozialversicherungsgericht, 2005-02-28, DE</w:t>
      </w:r>
    </w:p>
    <w:p>
      <w:r>
        <w:rPr>
          <w:b/>
        </w:rPr>
        <w:t xml:space="preserve">Quelle: </w:t>
      </w:r>
      <w:r>
        <w:t>https://mcp.opencaselaw.ch/entscheid/zh_sozialversicherungsgericht_AK.2004.00082</w:t>
      </w:r>
    </w:p>
    <w:p>
      <w:r>
        <w:t>FR: ZH_SOZIALVERSICHERUNGSGERICHT AK.2004.00082 du 28 février 2005</w:t>
      </w:r>
    </w:p>
    <w:p>
      <w:r>
        <w:t>IT: ZH_SOZIALVERSICHERUNGSGERICHT AK.2004.00082 del 28 febbraio 2005</w:t>
      </w:r>
    </w:p>
    <w:p>
      <w:pPr>
        <w:pStyle w:val="Heading2"/>
      </w:pPr>
      <w:r>
        <w:t>Erwägungen</w:t>
      </w:r>
    </w:p>
    <w:p>
      <w:r>
        <w:rPr>
          <w:b/>
        </w:rPr>
        <w:t>E. 2</w:t>
      </w:r>
    </w:p>
    <w:p>
      <w:r>
        <w:t>Dagegen erhoben A.___ am 23. November 2004, M.___ am 25. November 2004 und S.___ am 2. Dezember 2004 Beschwerden mit den AntrÃ¤gen, es sei von den Schadenersatzforderungen abzusehen (Urk. 1, Urk. 5/1 und Urk. 7/1); eventualiter beantragte S.___ zudem die ZurÃ¼ckweisung der Sache an die Kasse zur Neubeurteilung (Urk. 7/1). Mit VerfÃ¼gung vom 15. Dezember 2004 (Urk. 8) wurden die Prozesse Nrn. AK.2004.00084 und AK.2004.00085 mit dem vorliegenden Prozess Nr. AK.2004.00082 vereinigt und als dadurch erledigt abgeschrieben. In der Beschwerdeantwort vom 24. Januar 2005 beantragte die Kasse, es sei die Sache zu weiteren AbklÃ¤rungen hinsichtlich der SchadenshÃ¶he an sie zurÃ¼ckzuweisen (Urk. 15). Mit VerfÃ¼gung vom 17. Februar 2005 wurde der Schriftenwechsel abgeschlossen (Urk. 19).</w:t>
      </w:r>
    </w:p>
    <w:p>
      <w:r>
        <w:t>Auf die AusfÃ¼hrungen der Parteien ist, soweit erforderlich, nachfolgend einzugehen.</w:t>
      </w:r>
    </w:p>
    <w:p>
      <w:r>
        <w:t>Das Gericht zieht in ErwÃ¤gung:</w:t>
      </w:r>
    </w:p>
    <w:p>
      <w:r>
        <w:t>1.</w:t>
      </w:r>
    </w:p>
    <w:p>
      <w:r>
        <w:t>1.1Â Â Â Â  Nach Art. 52 Abs. 1 und 2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nach stÃ¤ndiger Rechtsprechung des EidgenÃ¶ssischen Versicherungsgerichts subsidiÃ¤r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1.2Â Â Â Â  Das Gericht kann die Angelegenheit zu neuer Entscheidung an die Vorinstanz zurÃ¼ckweisen, besonders wenn mit dem angefochtenen Entscheid nicht auf die Sache eingetreten oder der Sachverhalt ungenÃ¼gend festgestellt wurde (Â§ 26 des Gesetzes Ã¼ber das Sozialversicherungsgericht, GSVGer).</w:t>
      </w:r>
    </w:p>
    <w:p>
      <w:r>
        <w:t>2.Â Â Â Â Â Â  GemÃ¤ss den angefochtenen Einspracheentscheiden betrifft der Schaden in erster Linie die Jahre 2001 und 2002, was unbestritten ist. Die Kasse macht nun geltend, der Schadensbetrag betreffend diese beiden Jahre beziehungsweise die Jahresabrechnungen fÃ¼r diese beiden Jahre wÃ¼rden vom BeschwerdefÃ¼hrer 2 bestritten. Da jedoch keine Arbeitgeberschlusskontrolle vorgenommen worden sei, kÃ¶nnten diese Einwendungen nicht sachgerecht beurteilt werden. Die Sache sei dementsprechend zu weiteren AbklÃ¤rungen an sie zurÃ¼ckzuweisen.</w:t>
      </w:r>
    </w:p>
    <w:p>
      <w:r>
        <w:t>Â Â Â Â Â Â Â Â  Diesen Vorbringen der Kasse, die mit der Rechts- und Aktenlage (vgl. Urk. 5/1; Bericht des Revisors vom 1. April 2004 betreffend die Kontrollperiode 2003, Urk. 16) Ã¼bereinstimmen, ist zuzustimmen. Denn eine rechtsgenÃ¼gliche Erstellung des Schadensfundamentes ist fÃ¼r die Beurteilung der streitigen Schadenersatzforderungen nicht nur hinsichtlich des Schadens, sondern auch der Ã¼brigen Voraussetzungen unabdingbar. Was insbesondere den Einwand des BeschwerdefÃ¼hrers 2 betrifft, wonach dem Schadensbetrag zu hohe Lohnsummen zugrunde liegen wÃ¼rden (Urk. 5/1 S. 7), ist darauf hinzuweisen, dass diesbezÃ¼glich neben einer Arbeitgeberschlusskontrolle gegebenenfalls auch weitere AbklÃ¤rungsmÃ¶glichkeiten in Betracht kommen (wie Einholung von Buchhaltungsunterlagen, Lohnauszahlungsbelegen oder AuskÃ¼nften von ehemaligen Angestellten). Der einzuholende Schlussbericht Ã¼ber die Arbeitgeberkontrolle wird sich dabei substantiiert zu den masslichen Streitfragen zu Ã¤ussern haben. Die BeschwerdefÃ¼hrer trifft bei diesen AbklÃ¤rungen eine entsprechende Mitwirkungspflicht.</w:t>
      </w:r>
    </w:p>
    <w:p>
      <w:r>
        <w:t>3.Â Â Â Â Â Â  Nach dem Gesagten sind die Beschwerden in dem Sinne gutzuheissen, dass die angefochtenen Einspracheentscheide aufzuheben und die Sache zur weiteren AbklÃ¤rung im Sinne der obigen ErwÃ¤gungen und zur neuen Entscheidung an die Ausgleichskasse zurÃ¼ckzuweisen ist.</w:t>
      </w:r>
    </w:p>
    <w:p>
      <w:r>
        <w:rPr>
          <w:b/>
        </w:rPr>
        <w:t>E. 4</w:t>
      </w:r>
    </w:p>
    <w:p>
      <w:r>
        <w:t>Zustellung gegen Empfangsschein an:</w:t>
      </w:r>
    </w:p>
    <w:p>
      <w:r>
        <w:t>- Rechtsanwalt Dr. Ueli Kieser</w:t>
      </w:r>
    </w:p>
    <w:p>
      <w:r>
        <w:t>- M.___</w:t>
      </w:r>
    </w:p>
    <w:p>
      <w:r>
        <w:t>- RechtsanwÃ¤ltin Karin Meyer und Rechtsanwalt Rolf Kuhn</w:t>
      </w:r>
    </w:p>
    <w:p>
      <w:r>
        <w:t>- Sozialversicherungsanstalt des Kantons ZÃ¼rich, Ausgleichskasse unter Beilage einer Kopie von Urk. 5/1 und Urk. 5/3/1-15</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r>
        <w:rPr>
          <w:b/>
        </w:rPr>
        <w:t>E. 4.2</w:t>
      </w:r>
    </w:p>
    <w:p>
      <w:r>
        <w:t>4.2.1Â Â  Dem in eigener Sache prozessierenden BeschwerdefÃ¼hrer 2 kann nach der Rechtsprechung nur bei Vorliegen besonderer UmstÃ¤nde eine ProzessentschÃ¤digung zugesprochen werden, wobei folgende Voraussetzungen kumulativ gegeben sein mÃ¼ssen (BGE 129 V 116 Erw. 4.1, 110 V 134 Erw. 4d):</w:t>
      </w:r>
    </w:p>
    <w:p>
      <w:r>
        <w:t>-Â Â Â Â Â  komplexe Sache mit hohem Streitwert;</w:t>
      </w:r>
    </w:p>
    <w:p>
      <w:r>
        <w:t>-Â Â Â Â Â  hoher Arbeitsaufwand, der den Rahmen dessen Ã¼berschreitet, was der Einzelne Ã¼blicher- und zumutbarerweise nebenbei zur Besorgung der persÃ¶nlichen Angelegenheiten auf sich zu nehmen hat; erforderlich ist somit ein Arbeitsaufwand, welcher die normale (z.B. erwerbliche) BetÃ¤tigung wÃ¤hrend einiger Zeit erheblich beeintrÃ¤chtigt;</w:t>
      </w:r>
    </w:p>
    <w:p>
      <w:r>
        <w:t>-Â Â Â Â Â  vernÃ¼nftiges VerhÃ¤ltnis zwischen dem betriebenen Aufwand und dem Ergebnis der Interessenwahrung.</w:t>
      </w:r>
    </w:p>
    <w:p>
      <w:r>
        <w:rPr>
          <w:b/>
        </w:rPr>
        <w:t>E. 4.2.2</w:t>
      </w:r>
    </w:p>
    <w:p>
      <w:r>
        <w:t>Vorliegend ist keine solche Ausnahmesituation gegeben. Insbesondere musste der BeschwerdefÃ¼hrer 2 fÃ¼r seine Vorbringen in der fÃ¼nf Textseiten umfassenden Beschwerdeschrift (Urk. 5/1) keinen Arbeitsaufwand im Sinne der dargelegten Rechtsprechung tÃ¤tigen. Sein Antrag auf ParteientschÃ¤digung ist daher abzuweisen.</w:t>
      </w:r>
    </w:p>
    <w:p>
      <w:r>
        <w:t>Das Gericht erkennt:</w:t>
      </w:r>
    </w:p>
    <w:p>
      <w:r>
        <w:t>1.Â Â Â Â Â Â Â Â  Die Beschwerden werden in dem Sinne gutgeheissen, dass die angefochtenen Einspracheentscheide vom 25. Oktober 2004 aufgehoben werden und die Sache an die Sozialversicherungsanstalt des Kantons ZÃ¼rich, Ausgleichskasse, zurÃ¼ckgewiesen wird, damit diese nach erfolgter AbklÃ¤rung im Sinne der ErwÃ¤gungen neu verfÃ¼ge.</w:t>
      </w:r>
    </w:p>
    <w:p>
      <w:r>
        <w:t>2.Â Â Â Â Â Â Â Â  Das Verfahren ist kostenlos.</w:t>
      </w:r>
    </w:p>
    <w:p>
      <w:r>
        <w:t>3.Â Â Â Â Â Â Â Â  Die Beschwerdegegnerin wird verpflichtet, dem BeschwerdefÃ¼hrer 1 eine ProzessentschÃ¤digung von Fr. 700.-- und dem BeschwerdefÃ¼hrer 3 eine solche von Fr. 2'800.-- (jeweils inkl. Mehrwertsteuer und Barauslagen) zu bezahlen. Dem BeschwerdefÃ¼hrer 2 wird keine ProzessentschÃ¤digung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