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AK.2004.00049 vom 24. Januar 2005</w:t>
      </w:r>
    </w:p>
    <w:p>
      <w:r>
        <w:t>ZH Sozialversicherungsgericht, 2005-01-24, DE</w:t>
      </w:r>
    </w:p>
    <w:p>
      <w:r>
        <w:rPr>
          <w:b/>
        </w:rPr>
        <w:t xml:space="preserve">Quelle: </w:t>
      </w:r>
      <w:r>
        <w:t>https://mcp.opencaselaw.ch/entscheid/zh_sozialversicherungsgericht_AK.2004.00049</w:t>
      </w:r>
    </w:p>
    <w:p>
      <w:r>
        <w:t>FR: ZH_SOZIALVERSICHERUNGSGERICHT AK.2004.00049 du 24 janvier 2005</w:t>
      </w:r>
    </w:p>
    <w:p>
      <w:r>
        <w:t>IT: ZH_SOZIALVERSICHERUNGSGERICHT AK.2004.00049 del 24 gennaio 2005</w:t>
      </w:r>
    </w:p>
    <w:p>
      <w:pPr>
        <w:pStyle w:val="Heading2"/>
      </w:pPr>
      <w:r>
        <w:t>Erwägungen</w:t>
      </w:r>
    </w:p>
    <w:p>
      <w:r>
        <w:rPr>
          <w:b/>
        </w:rPr>
        <w:t>E. 3</w:t>
      </w:r>
    </w:p>
    <w:p>
      <w:r>
        <w:t>3.1Â Â Â Â  Zu prÃ¼fen ist, ob die einzelnen Haftungsvoraussetzungen erfÃ¼llt sind, wobei zunÃ¤chst auf den Schaden einzugehen ist.</w:t>
      </w:r>
    </w:p>
    <w:p>
      <w:r>
        <w:t>3.2Â Â Â Â  Die Beschwerdegegnerin stÃ¼tzt ihre Forderungen auf die Jahresabrechnungen fÃ¼r die Jahre 1999 bis 2001 (Urk. 12/21) sowie die anlÃ¤sslich der Arbeitgeberkontrolle vom 8. September 2001 festgestellten Lohnsummen fÃ¼r die Jahre 1999 bis 2001 (Urk. 12/4). Im Weiteren legte die Beschwerdegegnerin zahlreiche Verzugszinsabrechnungen (Urk. 12/12), Mahnungen (Urk. 12/5) und schuldbetreibungsrechtliche Dokumente (Urk. 12/6-11) ins Recht. Aus den eingereichten Lohn- und Revisionsunterlagen beziehungsweise KontoauszÃ¼gen ist ersichtlich, dass sich der eingeklagte Schaden aus der GegenÃ¼berstellung der gemÃ¤ss KontoauszÃ¼gen geschuldeten SozialversicherungsbeitrÃ¤ge zuzÃ¼glich Verzugszinsen, Mahnungen und Betreibungskosten und der von der G.___ geleisteten Zahlungen ergibt. Danach besteht ein Saldo von Fr. 48'407.70 zu Gunsten der Beschwerdegegnerin. Davon brachte die Beschwerdegegnerin in den Einspracheentscheiden vom 4. Mai und 1. Juni 2004 (Urk. 12/35, Urk. 12/37) den nach der KonkurserÃ¶ffnung vom 9. August 2001 vom Konkursamt am 29. November 2001 bezahlten Betrag in der HÃ¶he von Fr. 25'616.50 in Abzug (Urk. 12/10/1, Urk. 12/3).</w:t>
      </w:r>
    </w:p>
    <w:p>
      <w:r>
        <w:t>3.2Â Â Â Â  Die Forderung der Beschwerdegegnerin wurde von den BeschwerdefÃ¼hrern im Quantitativ nicht bestritten. Die SchadenshÃ¶he ist aufgrund der Akten ausgewiesen. Auch die einspracheweise vorgenommene Forderungsreduktion erweist sich als korrekt. Mangels offenkundiger Anhaltspunkte fÃ¼r Berechnungsfehler ist somit die Schadensberechnung der Beschwerdegegnerin zu bestÃ¤tigen und im Weiteren von einem vorliegend relevanten Schadensbetrag von Fr. 22'791.20 auszugehen.</w:t>
      </w:r>
    </w:p>
    <w:p>
      <w:r>
        <w:rPr>
          <w:b/>
        </w:rPr>
        <w:t>E. 4</w:t>
      </w:r>
    </w:p>
    <w:p>
      <w:r>
        <w:t>4.1Â Â Â Â  Zu prÃ¼fen ist die weitere Haftungsvoraussetzung der Widerrechtlichkeit.</w:t>
      </w:r>
    </w:p>
    <w:p>
      <w:r>
        <w:t>4.2Â Â Â Â  Aus den Akten ist ersichtlich, dass die G.___ den ihr als Arbeitgeberin obliegenden Zahlungsverpflichtungen in den Jahren 1999 bis 2001 verspÃ¤tet und unvollstÃ¤ndig nachgekommen war, weshalb die Beschwerdegegnerin im Umfang von Fr. 22'791.20 zu Schaden kam (Urk. 12/10/1, Urk. 12/3). Angesichts dieser Missachtung der Beitragszahlungspflicht von Art. 14 Abs. 1 AHVG ist das Vorliegen der Widerrechtlichkeit als weitere Haftungsvoraussetzung ohne weiteres zu bejahen (vgl. vorstehend Erw. 1.5).</w:t>
      </w:r>
    </w:p>
    <w:p>
      <w:r>
        <w:rPr>
          <w:b/>
        </w:rPr>
        <w:t>E. 5</w:t>
      </w:r>
    </w:p>
    <w:p>
      <w:r>
        <w:t>5.1Â Â Â Â  Zu prÃ¼fen ist sodann, ob die BeschwerdefÃ¼hrer ein Verschulden trifft.</w:t>
      </w:r>
    </w:p>
    <w:p>
      <w:r>
        <w:t>5.2Â Â Â Â  Haftungsvoraussetzung nach Art. 52 AHVG ist praxisgemÃ¤ss die formelle oder materielle Organstellung der Pflichtigen. Als Organ einer juristischen Person sind alle Mitglieder des Verwaltungsrates zu betrachten und zwar unabhÃ¤ngig davon, welche Aufgaben sie tatsÃ¤chlich erfÃ¼llen beziehungsweise unabhÃ¤ngig von ihrem tatsÃ¤chlichen Einfluss (Forstmoser, Die aktienrechtliche Verantwortlichkeit, 2. Auflage, ZÃ¼rich 1987, S. 208 f., N 650 und 654).</w:t>
      </w:r>
    </w:p>
    <w:p>
      <w:r>
        <w:t>Â Â Â Â Â Â Â Â  Die Organhaftung aus Art. 52 AHVG besteht nicht fÃ¼r Beitragsforderungen, die nach der Publikation der LÃ¶schung der Organstellung der betreffenden Person im Handelsregister fÃ¤llig werden, weil die betreffende Person im Zeitpunkt der FÃ¤lligkeit nicht mehr Organ ist. FÃ¼r die vor der Publikation fÃ¤lligen Beitragsforderungen haftet das Organ, wenn es durch eine vorsÃ¤tzliche oder grobfahrlÃ¤ssige Handlung beziehungsweise Unterlassung bewirkt hat, dass die BeitrÃ¤geÂ  im Zeitpunkt der FÃ¤lligkeit nicht bezahlt werden konnten. Ein Verschulden des Organs kann nur so lange in Frage kommen, als es die MÃ¶glichkeit hat, durch Handlungen oder Unterlassungen die GeschÃ¤ftsfÃ¼hrung massgeblich zu beeinflussen. Das ist faktisch lÃ¤ngstens bis zum effektiven Ausscheiden aus dem Verwaltungsrat der Fall (BGE 126 V 61 Erw. 4a, 123 V 173 Erw. 3a).</w:t>
      </w:r>
    </w:p>
    <w:p>
      <w:r>
        <w:t>5.3Â Â Â Â  GemÃ¤ss Auszug aus dem Handelsregister des Kantons ZÃ¼rich vom 6. November 2002 war der BeschwerdefÃ¼hrer 1 bis zur LÃ¶schung der G.___ Gesellschafter und GeschÃ¤ftsfÃ¼hrer (Urk. 12/2). Die formelle Organstellung des BeschwerdefÃ¼hrers 1 ist somit wÃ¤hrend der vorliegend relevanten Zeit gegeben, weshalb er grundsÃ¤tzlich fÃ¼r den eingeklagten Schaden einzustehen hat.</w:t>
      </w:r>
    </w:p>
    <w:p>
      <w:r>
        <w:t>5.4Â Â Â Â</w:t>
      </w:r>
    </w:p>
    <w:p>
      <w:r>
        <w:t>5.4.1Â Â  Der BeschwerdefÃ¼hrer 2 war vom 14. Januar 1999 bis 26. Juni 2001 Gesellschafter und GeschÃ¤ftsfÃ¼hrer (Urk. 12/2). Aktenkundig ist, dass der BeschwerdefÃ¼hrer 2 dem BeschwerdefÃ¼hrer 1 mit Kaufvertrag vom 25. Oktober 2000 seine Firmenanteile verkaufte (Urk. 12/28/8). Unbestritten ist sodann, dass der BeschwerdefÃ¼hrer 2 per Ende Oktober 2000 seine Funktion als GeschÃ¤ftsfÃ¼hrer aufgab (Urk. 12/28/1).</w:t>
      </w:r>
    </w:p>
    <w:p>
      <w:r>
        <w:t>5.4.2Â Â  Nach stÃ¤ndiger Rechtsprechung zu Art. 52 AHVG (BGE 123 V 173 Erw. 3a, 112 V 4 Erw. 3c, 109 V 93 Erw. 13; vgl. auch Nussbaumer, a.a.O., S. 1081) dauert die Verantwortlichkeit eines Verwaltungsrates in der Regel bis zum Moment seines tatsÃ¤chlichen Austritts aus dem Verwaltungsrat, und nicht bis zum Zeitpunkt der LÃ¶schung seiner Funktion im Handelsregister. Das gilt jedenfalls in denjenigen FÃ¤llen, in denen die Betroffenen, nach ihrer Demission, keinen Einfluss mehr auf den Gang der GeschÃ¤fte und keine EntschÃ¤digung fÃ¼r ihre Verwaltungsratsstellung erhalten haben. Mit anderen Worten kann ein GeschÃ¤ftsfÃ¼hrer einer Gesellschaft mit beschrÃ¤nkter Haftung nur fÃ¼r Schaden haftbar erklÃ¤rt werden, der auf die Nichtbezahlung von BeitrÃ¤gen zurÃ¼ckzufÃ¼hren ist, welche im Zeitpunkt seines effektiven Austrittes entstanden und fÃ¤llig waren. Vorbehalten bleibt der Fall, in dem der Schaden durch Handlungen verursacht worden ist, deren Wirkungen sich jedoch erst nach seinem RÃ¼cktritt als GeschÃ¤ftsfÃ¼hrer entfaltet haben.</w:t>
      </w:r>
    </w:p>
    <w:p>
      <w:r>
        <w:t>Â Â Â Â Â Â Â Â  Nach dem Gesagten kann der BeschwerdefÃ¼hrer 2 nur fÃ¼r den bis Ende Oktober 2000 eingetretenen Schaden haftbar gemacht werden.</w:t>
      </w:r>
    </w:p>
    <w:p>
      <w:r>
        <w:t>5.4.3Â Â  Wie dem Kontoauszug der Beschwerdegegnerin vom 29. Januar 2003 entnommen werden kann, waren bis Ende MÃ¤rz 2000 alle bis Ende MÃ¤rz 2000 fÃ¤llig gewordenen Quartals-Pauschalabrechnungen bezahlt. Am 8. Juni 2000 stellte die Beschwerdegegnerin die Pauschalabrechnungen fÃ¼r April bis Juni 2000 und am 8. September 2000 die Pauschalabrechnung fÃ¼r Juli bis September 2000 in Rechnung (Urk. 12/3 S. 2). Nach Abzug der spÃ¤ter hinzugekommenen Mahn- und Betreibungskosten bleibt ein Betrag von Fr. 5'647.65 offen, der bis heute nicht beglichen wurde und wofÃ¼r der BeschwerdefÃ¼hrer 2 einzustehen hat.</w:t>
      </w:r>
    </w:p>
    <w:p>
      <w:r>
        <w:t>5.5Â Â Â Â</w:t>
      </w:r>
    </w:p>
    <w:p>
      <w:r>
        <w:t>5.5.1Â Â  Da die NichterfÃ¼llung der Beitragszahlungs- und Abrechnungspflicht in der Regel die volle Schadensdeckung nach sich zieht (vgl. vorstehend Erw. 1.5), und die Ausgleichskasse davon ausgehen darf, dass die Arbeitgeberin die Vorschriften absichtlich oder grobfahrlÃ¤ssig verletzt hat, sofern keine Anhaltspunkte fÃ¼r die RechtmÃ¤ssigkeit ihres Handelns oder ihrer Schuldlosigkeit bestehen (SVR 1995 AHV Nr. 70 S. 213), hat hinsichtlich des Verschuldens des einzelnen Verwaltungsrates der ins Recht Gefasste aufgrund der ihm obliegenden Mitwirkungspflichten den Nachweis fÃ¼r allfÃ¤llige Rechtfertigungs- oder ExkulpationsgrÃ¼nde zu erbringen (SVR 1998 AHV Nr. 15 Erw. 4a und BGE 108 V 198 Erw. 1). Verwaltung und Gericht prÃ¼fen im Rahmen des Untersuchungsgrundsatzes die Berechtigung der erhobenen EinwÃ¤nde.</w:t>
      </w:r>
    </w:p>
    <w:p>
      <w:r>
        <w:t>5.5.2Â Â  Bei der G.___ handelte es sich um ein kleines Unternehmen mit einer geringen Zahl von Angestellten (vgl. Jahresabrechnungen 1999 bis 2001, Urk. 12/21). Bei derart einfachen und Ã¼berschaubaren VerhÃ¤ltnissen werden praxisgemÃ¤ss erhÃ¶hte Anforderungen an die Ãberwachungsaufgaben der Organe gestellt. Es lÃ¤sst sich nicht wie bei einer Grossunternehmung mit einer allfÃ¤lligen Delegation von Funktionen an Dritte auch eine BeschrÃ¤nkung der Kontrollpflichten rechtfertigen (BGE 108 V 203 Erw. 3b). Als GeschÃ¤ftsfÃ¼hrer waren die BeschwerdefÃ¼hrer fÃ¼r einen korrekten Abrechnungs- und Zahlungsverkehr mit der Ausgleichskasse verantwortlich. Wenn die Begleichung der SozialversicherungsbeitrÃ¤ge aufgrund der LiquiditÃ¤tsprobleme der G.___ nicht mehr garantiert war, hÃ¤tten die AnstellungsverhÃ¤ltnisse nicht mehr weitergefÃ¼hrt werden dÃ¼rfen. Offensichtlich war die finanzielle Situation der Gesellschaft bereits im Jahre 1999 angespannt. Unter diesen UmstÃ¤nden hÃ¤tten die BeschwerdefÃ¼hrer als GeschÃ¤ftsfÃ¼hrer dafÃ¼r besorgt sein mÃ¼ssen, dass keine Lohnzahlungen ohne Deckung oder Sicherstellung der mit der Ausgleichskasse abzurechnenden SozialversicherungsbeitrÃ¤ge ausbezahlt werden. Es war ihre Pflicht, dafÃ¼r zu sorgen, dass die von den LÃ¶hnen abgezogenen ArbeitnehmerbeitrÃ¤ge zusammen mit den ArbeitgeberbeitrÃ¤gen bis zur FÃ¤lligkeit sichergestellt werden, damit sie in diesem Zeitpunkt vorhanden gewesen wÃ¤ren und fristgerecht hÃ¤tten abgeliefert werden kÃ¶nnen (ZAK 1985 S. 619). Dadurch, dass die BeschwerdefÃ¼hrer nicht genÃ¼gend dafÃ¼r besorgt waren, dass von den fÃ¼r die massgebliche Zeit ausbezahlten LÃ¶hnen SozialversicherungsbeitrÃ¤ge entrichtet oder zumindest sichergestellt wurden, nahmen sie einen Verlust der Ausgleichskasse in Kauf. Anhaltspunkte fÃ¼r die RechtmÃ¤ssigkeit des Handelns oder die Schuldlosigkeit der BeschwerdefÃ¼hrer liegen keine vor, weshalb ihr Verhalten als zumindest grobfahrlÃ¤ssig zu werten ist. Aus dem Umstand, dass die Beschwerdegegnerin zuerst ein Klageverfahren eingeleitet hatte, kÃ¶nnen die BeschwerdefÃ¼hrenden nichts zu ihren Gunsten ableiten, zumal Sinn und Zweck eines Rechtsmittels in der ÃberprÃ¼fung eines Entscheides durch eine hÃ¶here Instanz liegt, was naturgemÃ¤ss Zeit in Anspruch nimmt. Auch soweit sich der BeschwerdefÃ¼hrer 1 durch das Vorbringen zu entlasten versucht, dass ein Bauhandwerkerpfandrecht bestanden habe, erweist sich sein Vortrag als nicht stichhaltig. Auch in einer solchen Situation wÃ¤re der BeschwerdefÃ¼hrer 1 nÃ¤mlich rechtsprechungsgemÃ¤ss verpflichtet gewesen, dafÃ¼r zu sorgen, dass die G.___ nur LÃ¶hne ausrichtet, fÃ¼r die sie auch die entsprechenden SozialversicherungsbeitrÃ¤ge zu leisten imstande ist. Daran hat sich die G.___ nicht gehalten.</w:t>
      </w:r>
    </w:p>
    <w:p>
      <w:r>
        <w:t>6.Â Â Â Â Â Â  Die Bezahlung der LÃ¶hne ohne Sicherstellung und fristgerechte Ablieferung der BeitrÃ¤ge fÃ¼hrte dazu, dass die Beschwerdegegnerin im Konkurs der G.___ zu Verlust kam. Das Verhalten der BeschwerdefÃ¼hrer war somit kausal fÃ¼r den entstandenen Schaden.</w:t>
      </w:r>
    </w:p>
    <w:p>
      <w:r>
        <w:t>7.Â Â Â Â Â Â  GestÃ¼tzt auf die ErwÃ¤gungen ergibt sich, dass die Beschwerdegegnerin zu Recht den BeschwerdefÃ¼hrer 1 fÃ¼r den eingetretenen Schaden in der HÃ¶he von Fr. 22'791.20 und den BeschwerdefÃ¼hrer 2 fÃ¼r den eingetretenen Schaden in der HÃ¶he von Fr. 5'647.65 belangt hat. Dies fÃ¼hrt zur Abweisung der Beschwerde.</w:t>
      </w:r>
    </w:p>
    <w:p>
      <w:r>
        <w:t>Das Gericht erkennt:</w:t>
      </w:r>
    </w:p>
    <w:p>
      <w:r>
        <w:t>1.Â Â Â Â Â Â Â Â  Die Beschwerde wird abgewiesen.</w:t>
      </w:r>
    </w:p>
    <w:p>
      <w:r>
        <w:t>2.Â Â Â Â Â Â Â Â  Das Verfahren ist kostenlos.</w:t>
      </w:r>
    </w:p>
    <w:p>
      <w:r>
        <w:t>3.Â Â Â Â Â Â Â Â  Zustellung gegen Empfangsschein an:</w:t>
      </w:r>
    </w:p>
    <w:p>
      <w:r>
        <w:t>- P.___</w:t>
      </w:r>
    </w:p>
    <w:p>
      <w:r>
        <w:t>- Sozialversicherungsanstalt des Kantons ZÃ¼rich, Ausgleichskasse</w:t>
      </w:r>
    </w:p>
    <w:p>
      <w:r>
        <w:t>- Bundesamt fÃ¼r Sozialversicherung</w:t>
      </w:r>
    </w:p>
    <w:p>
      <w:r>
        <w:t>4.Â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r>
        <w:t>BezÃ¼glich BeitrÃ¤ge an die Familienausgleichskasse ist kein ordentliches Rechtsmittel gegeben.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